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6BA1" w14:textId="77777777" w:rsidR="00A851EA" w:rsidRPr="00A851EA" w:rsidRDefault="00A851EA" w:rsidP="00A851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b/>
          <w:bCs/>
          <w:color w:val="333333"/>
          <w:lang w:val="es-ES" w:eastAsia="en-BE"/>
        </w:rPr>
        <w:t>GENERAL RESOLUTION N ° 95</w:t>
      </w:r>
    </w:p>
    <w:p w14:paraId="15A2F56E" w14:textId="77777777" w:rsidR="00A851EA" w:rsidRPr="00A851EA" w:rsidRDefault="00A851EA" w:rsidP="00A851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  <w:t> </w:t>
      </w:r>
    </w:p>
    <w:p w14:paraId="27AE2CB1" w14:textId="77777777" w:rsidR="00A851EA" w:rsidRPr="00A851EA" w:rsidRDefault="00A851EA" w:rsidP="00A85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b/>
          <w:bCs/>
          <w:color w:val="000000"/>
          <w:lang w:val="es-ES" w:eastAsia="en-BE"/>
        </w:rPr>
        <w:t>BY WHICH THE NUMBER OF ELECTRONIC INVOICERS ENABLED FOR THE PHASE OF " </w:t>
      </w:r>
      <w:r w:rsidRPr="00A851EA">
        <w:rPr>
          <w:rFonts w:ascii="Calibri" w:eastAsia="Times New Roman" w:hAnsi="Calibri" w:cs="Calibri"/>
          <w:b/>
          <w:bCs/>
          <w:i/>
          <w:iCs/>
          <w:color w:val="000000"/>
          <w:lang w:val="es-ES" w:eastAsia="en-BE"/>
        </w:rPr>
        <w:t>VOLUNTARY ACCESSION</w:t>
      </w:r>
      <w:r w:rsidRPr="00A851EA">
        <w:rPr>
          <w:rFonts w:ascii="Calibri" w:eastAsia="Times New Roman" w:hAnsi="Calibri" w:cs="Calibri"/>
          <w:b/>
          <w:bCs/>
          <w:color w:val="000000"/>
          <w:lang w:val="es-ES" w:eastAsia="en-BE"/>
        </w:rPr>
        <w:t> " OF THE INTEGRATED NATIONAL ELECTRONIC INVOICING SYSTEM IS EXPANDED AND ADMINISTRATIVE MEASURES ARE PROVIDED FOR THE ISSUE OF ELECTRONIC TAX DOCUMENTS</w:t>
      </w:r>
    </w:p>
    <w:p w14:paraId="5FF550D3" w14:textId="77777777" w:rsidR="00A851EA" w:rsidRPr="00A851EA" w:rsidRDefault="00A851EA" w:rsidP="00A85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  <w:t> </w:t>
      </w:r>
    </w:p>
    <w:p w14:paraId="612A9647" w14:textId="77777777" w:rsidR="00A851EA" w:rsidRPr="00A851EA" w:rsidRDefault="00A851EA" w:rsidP="00A851E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proofErr w:type="spellStart"/>
      <w:r w:rsidRPr="00A851EA">
        <w:rPr>
          <w:rFonts w:ascii="Calibri" w:eastAsia="Times New Roman" w:hAnsi="Calibri" w:cs="Calibri"/>
          <w:color w:val="333333"/>
          <w:lang w:val="es-ES" w:eastAsia="en-BE"/>
        </w:rPr>
        <w:t>Asuncion</w:t>
      </w:r>
      <w:proofErr w:type="spellEnd"/>
      <w:r w:rsidRPr="00A851EA">
        <w:rPr>
          <w:rFonts w:ascii="Calibri" w:eastAsia="Times New Roman" w:hAnsi="Calibri" w:cs="Calibri"/>
          <w:color w:val="333333"/>
          <w:lang w:val="es-ES" w:eastAsia="en-BE"/>
        </w:rPr>
        <w:t>, August 10, 2021</w:t>
      </w:r>
    </w:p>
    <w:p w14:paraId="39D403A6" w14:textId="77777777" w:rsidR="00A851EA" w:rsidRPr="00A851EA" w:rsidRDefault="00A851EA" w:rsidP="00A851E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  <w:t> 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7385"/>
      </w:tblGrid>
      <w:tr w:rsidR="00A851EA" w:rsidRPr="00A851EA" w14:paraId="6FC66F8E" w14:textId="77777777" w:rsidTr="00A851EA"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D9B0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SEEN:</w:t>
            </w:r>
          </w:p>
        </w:tc>
        <w:tc>
          <w:tcPr>
            <w:tcW w:w="4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FB5F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Book V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Law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125/1991 </w:t>
            </w:r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"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Establishing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the new Tax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Regime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"</w:t>
            </w:r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 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modifications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;</w:t>
            </w:r>
          </w:p>
          <w:p w14:paraId="73533B75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Law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6380/2019 </w:t>
            </w:r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"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On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Modernization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Simplification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National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Tax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System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";</w:t>
            </w:r>
          </w:p>
          <w:p w14:paraId="5B1CF070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Decree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7795/2017 </w:t>
            </w:r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"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By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which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Integrated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National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Electronic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Billing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System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is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created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";</w:t>
            </w:r>
          </w:p>
          <w:p w14:paraId="0040D920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General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Resolution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124/2018 " 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By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which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participating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companies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Pilot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Plan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implementation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National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Integrated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Electronic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Invoicing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System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(SIFEN) are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designated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";</w:t>
            </w:r>
          </w:p>
          <w:p w14:paraId="52D64B55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General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Resolution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18/2019 " 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By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which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obligation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 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invoicing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 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is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assigned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voluntary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adherence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National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Integrated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Electronic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Invoicing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System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- SIFEN";</w:t>
            </w:r>
          </w:p>
          <w:p w14:paraId="0214EA41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00000A"/>
                <w:lang w:val="en-BE" w:eastAsia="en-BE"/>
              </w:rPr>
              <w:t>General Resolution No. 23/2019 </w:t>
            </w:r>
            <w:r w:rsidRPr="00A851EA">
              <w:rPr>
                <w:rFonts w:ascii="Calibri" w:eastAsia="Times New Roman" w:hAnsi="Calibri" w:cs="Calibri"/>
                <w:i/>
                <w:iCs/>
                <w:color w:val="00000A"/>
                <w:lang w:val="en-BE" w:eastAsia="en-BE"/>
              </w:rPr>
              <w:t>"By which the beginning of the phase called Voluntary Adhesion is established for the implementation of the Integrated National Electronic Invoicing System and regulates the issuance of Electronic Tax Documents"; </w:t>
            </w:r>
            <w:r w:rsidRPr="00A851EA">
              <w:rPr>
                <w:rFonts w:ascii="Calibri" w:eastAsia="Times New Roman" w:hAnsi="Calibri" w:cs="Calibri"/>
                <w:color w:val="00000A"/>
                <w:lang w:val="en-BE" w:eastAsia="en-BE"/>
              </w:rPr>
              <w:t>and</w:t>
            </w:r>
          </w:p>
          <w:p w14:paraId="776B7077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</w:tr>
      <w:tr w:rsidR="00A851EA" w:rsidRPr="00A851EA" w14:paraId="2C3033F0" w14:textId="77777777" w:rsidTr="00A851EA"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81C4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CONSIDERING:</w:t>
            </w:r>
          </w:p>
          <w:p w14:paraId="1D28F454" w14:textId="77777777"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  <w:p w14:paraId="4731EFDD" w14:textId="77777777"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  <w:p w14:paraId="61CBD7B6" w14:textId="77777777"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  <w:p w14:paraId="641F4691" w14:textId="77777777"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  <w:p w14:paraId="1EE326A2" w14:textId="77777777"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  <w:p w14:paraId="0B4DD54B" w14:textId="77777777"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  <w:p w14:paraId="43FC59D0" w14:textId="77777777" w:rsidR="00A851EA" w:rsidRPr="00A851EA" w:rsidRDefault="00A851EA" w:rsidP="00A851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  <w:p w14:paraId="430E69E9" w14:textId="77777777" w:rsidR="00A851EA" w:rsidRPr="00A851EA" w:rsidRDefault="00A851EA" w:rsidP="00A8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  <w:tc>
          <w:tcPr>
            <w:tcW w:w="4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F852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92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Law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6380/2019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provides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carry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out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taxable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exempt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non-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acts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be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obliged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deliver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sales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receipts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duly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stamped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Administration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each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transfer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provision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services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make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likewise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require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said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each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purchase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made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35A0321D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through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Decree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7795/2017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Integrated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National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Electronic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Billing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System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(SIFEN)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was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created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empowering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State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Undersecretariat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(SET)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gradually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implement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obligation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electronically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Sales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Receipts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Complementary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Withholding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Vouchers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Remission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Notes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through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phases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Pilot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Plan,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Voluntary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Adhesion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Obligation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according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regulations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establishes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5DAF5195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order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continue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SIFEN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massification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plan,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one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hand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up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have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formally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requested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enter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phase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called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gram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“ 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Voluntary</w:t>
            </w:r>
            <w:proofErr w:type="spellEnd"/>
            <w:proofErr w:type="gram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Adhesion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 ” of SIFEN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be 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authorized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 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invoices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29D9B32C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order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continue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advancing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massification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invoicing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project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necessary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designate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only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their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electronically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 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end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sustainable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gradual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implementation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said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provision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necessary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include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a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first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group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were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part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SIFEN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Pilot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Plan,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have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been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invoices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since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November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23, 2018, and in a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second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proofErr w:type="gram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group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,</w:t>
            </w:r>
            <w:proofErr w:type="gram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included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the " 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Voluntary</w:t>
            </w:r>
            <w:proofErr w:type="spell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Adhesion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 "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phase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 .</w:t>
            </w:r>
          </w:p>
          <w:p w14:paraId="1FBB63FF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189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Law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 ° 125/1991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empowers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SET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dictate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regulations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regarding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form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conditions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which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administrations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adjust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terms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registration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operations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even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authorize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endorse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books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receipts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sale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purchase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where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appropriate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operations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related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forms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affidavits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payments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72F7EC46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lastRenderedPageBreak/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Department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Preparation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Interpretation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Regulations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has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been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under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terms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DEINT / PN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Report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43 of August 6, 2021.</w:t>
            </w:r>
          </w:p>
        </w:tc>
      </w:tr>
      <w:tr w:rsidR="00A851EA" w:rsidRPr="00A851EA" w14:paraId="6C49863E" w14:textId="77777777" w:rsidTr="00A851EA"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576D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lastRenderedPageBreak/>
              <w:t>THEREFORE,</w:t>
            </w:r>
          </w:p>
        </w:tc>
        <w:tc>
          <w:tcPr>
            <w:tcW w:w="4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D741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</w:tr>
      <w:tr w:rsidR="00A851EA" w:rsidRPr="00A851EA" w14:paraId="511B4FB1" w14:textId="77777777" w:rsidTr="00A851EA">
        <w:tc>
          <w:tcPr>
            <w:tcW w:w="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EA1D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  <w:tc>
          <w:tcPr>
            <w:tcW w:w="4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4277" w14:textId="77777777" w:rsidR="00A851EA" w:rsidRPr="00A851EA" w:rsidRDefault="00A851EA" w:rsidP="00A8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00000A"/>
                <w:lang w:val="en-BE" w:eastAsia="en-BE"/>
              </w:rPr>
              <w:t>THE VICE MINISTER OF TAXATION</w:t>
            </w:r>
          </w:p>
          <w:p w14:paraId="72C3803B" w14:textId="77777777" w:rsidR="00A851EA" w:rsidRPr="00A851EA" w:rsidRDefault="00A851EA" w:rsidP="00A85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RESOLVES:</w:t>
            </w:r>
          </w:p>
        </w:tc>
      </w:tr>
    </w:tbl>
    <w:p w14:paraId="1FCD27AC" w14:textId="77777777" w:rsidR="00A851EA" w:rsidRPr="00A851EA" w:rsidRDefault="00A851EA" w:rsidP="00A851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  <w:t> </w:t>
      </w:r>
    </w:p>
    <w:tbl>
      <w:tblPr>
        <w:tblpPr w:leftFromText="141" w:rightFromText="141" w:vertAnchor="text" w:tblpXSpec="right" w:tblpYSpec="center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7567"/>
      </w:tblGrid>
      <w:tr w:rsidR="00A851EA" w:rsidRPr="00A851EA" w14:paraId="0C30B9B3" w14:textId="77777777" w:rsidTr="00A851EA">
        <w:trPr>
          <w:trHeight w:val="60"/>
        </w:trPr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BA51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 xml:space="preserve"> 1º.-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7E2F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Enable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mentioned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Annex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1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Resolution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invoices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implementation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phase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Integrated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National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Electronic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Billing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System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(SIFEN)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called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gram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“ 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Voluntary</w:t>
            </w:r>
            <w:proofErr w:type="spellEnd"/>
            <w:proofErr w:type="gramEnd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i/>
                <w:iCs/>
                <w:color w:val="333333"/>
                <w:lang w:val="es-ES" w:eastAsia="en-BE"/>
              </w:rPr>
              <w:t>Adhesion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 ”.</w:t>
            </w:r>
          </w:p>
          <w:p w14:paraId="2A7C92DD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phase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billers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be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authorized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receive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however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continue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sales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receipts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other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through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other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means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generation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provided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Decree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6539/2005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amendments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081AEE32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</w:tr>
      <w:tr w:rsidR="00A851EA" w:rsidRPr="00A851EA" w14:paraId="1D6CDCAC" w14:textId="77777777" w:rsidTr="00A851EA">
        <w:trPr>
          <w:trHeight w:val="60"/>
        </w:trPr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D115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 xml:space="preserve"> 2.-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F049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Provide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indicated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Annexes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2 and 3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Resolution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as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indicated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date,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must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only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electronically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their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accordance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following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calendar,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except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virtual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Withholding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Voucher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issuance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maintain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accordance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provisions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regulations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regulate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matter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3666"/>
            </w:tblGrid>
            <w:tr w:rsidR="00A851EA" w:rsidRPr="00A851EA" w14:paraId="79CBF65F" w14:textId="77777777">
              <w:trPr>
                <w:trHeight w:val="537"/>
                <w:tblHeader/>
              </w:trPr>
              <w:tc>
                <w:tcPr>
                  <w:tcW w:w="25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1C22AC" w14:textId="77777777" w:rsidR="00A851EA" w:rsidRPr="00A851EA" w:rsidRDefault="00A851EA" w:rsidP="00A851EA">
                  <w:pPr>
                    <w:framePr w:hSpace="141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  <w:r w:rsidRPr="00A851EA">
                    <w:rPr>
                      <w:rFonts w:ascii="Calibri" w:eastAsia="Times New Roman" w:hAnsi="Calibri" w:cs="Calibri"/>
                      <w:b/>
                      <w:bCs/>
                      <w:lang w:val="es-ES" w:eastAsia="en-BE"/>
                    </w:rPr>
                    <w:t>ANNEXED</w:t>
                  </w:r>
                </w:p>
              </w:tc>
              <w:tc>
                <w:tcPr>
                  <w:tcW w:w="2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6AE798" w14:textId="77777777" w:rsidR="00A851EA" w:rsidRPr="00A851EA" w:rsidRDefault="00A851EA" w:rsidP="00A851EA">
                  <w:pPr>
                    <w:framePr w:hSpace="141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  <w:r w:rsidRPr="00A851EA">
                    <w:rPr>
                      <w:rFonts w:ascii="Calibri" w:eastAsia="Times New Roman" w:hAnsi="Calibri" w:cs="Calibri"/>
                      <w:b/>
                      <w:bCs/>
                      <w:lang w:val="es-ES" w:eastAsia="en-BE"/>
                    </w:rPr>
                    <w:t>DATE FROM WHICH THEY REMAIN</w:t>
                  </w:r>
                </w:p>
                <w:p w14:paraId="1F437428" w14:textId="77777777" w:rsidR="00A851EA" w:rsidRPr="00A851EA" w:rsidRDefault="00A851EA" w:rsidP="00A851EA">
                  <w:pPr>
                    <w:framePr w:hSpace="141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  <w:r w:rsidRPr="00A851EA">
                    <w:rPr>
                      <w:rFonts w:ascii="Calibri" w:eastAsia="Times New Roman" w:hAnsi="Calibri" w:cs="Calibri"/>
                      <w:b/>
                      <w:bCs/>
                      <w:lang w:val="es-ES" w:eastAsia="en-BE"/>
                    </w:rPr>
                    <w:t>OBLIGATED</w:t>
                  </w:r>
                </w:p>
              </w:tc>
            </w:tr>
            <w:tr w:rsidR="00A851EA" w:rsidRPr="00A851EA" w14:paraId="02CD10FB" w14:textId="77777777">
              <w:trPr>
                <w:trHeight w:val="537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7A488" w14:textId="77777777" w:rsidR="00A851EA" w:rsidRPr="00A851EA" w:rsidRDefault="00A851EA" w:rsidP="00A851EA">
                  <w:pPr>
                    <w:framePr w:hSpace="141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 xml:space="preserve">2 - </w:t>
                  </w:r>
                  <w:proofErr w:type="spellStart"/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>Pilot</w:t>
                  </w:r>
                  <w:proofErr w:type="spellEnd"/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 xml:space="preserve"> Plan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2FBF5C" w14:textId="77777777" w:rsidR="00A851EA" w:rsidRPr="00A851EA" w:rsidRDefault="00A851EA" w:rsidP="00A851EA">
                  <w:pPr>
                    <w:framePr w:hSpace="141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  <w:proofErr w:type="spellStart"/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>January</w:t>
                  </w:r>
                  <w:proofErr w:type="spellEnd"/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 xml:space="preserve"> 01, 2022</w:t>
                  </w:r>
                </w:p>
              </w:tc>
            </w:tr>
            <w:tr w:rsidR="00A851EA" w:rsidRPr="00A851EA" w14:paraId="35EC96E9" w14:textId="77777777">
              <w:trPr>
                <w:trHeight w:val="537"/>
              </w:trPr>
              <w:tc>
                <w:tcPr>
                  <w:tcW w:w="25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111785" w14:textId="77777777" w:rsidR="00A851EA" w:rsidRPr="00A851EA" w:rsidRDefault="00A851EA" w:rsidP="00A851EA">
                  <w:pPr>
                    <w:framePr w:hSpace="141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 xml:space="preserve">3 - </w:t>
                  </w:r>
                  <w:proofErr w:type="spellStart"/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>Voluntary</w:t>
                  </w:r>
                  <w:proofErr w:type="spellEnd"/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 xml:space="preserve"> </w:t>
                  </w:r>
                  <w:proofErr w:type="spellStart"/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>Membership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014D8" w14:textId="77777777" w:rsidR="00A851EA" w:rsidRPr="00A851EA" w:rsidRDefault="00A851EA" w:rsidP="00A851EA">
                  <w:pPr>
                    <w:framePr w:hSpace="141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BE" w:eastAsia="en-BE"/>
                    </w:rPr>
                  </w:pPr>
                  <w:r w:rsidRPr="00A851EA">
                    <w:rPr>
                      <w:rFonts w:ascii="Calibri" w:eastAsia="Times New Roman" w:hAnsi="Calibri" w:cs="Calibri"/>
                      <w:lang w:val="es-ES" w:eastAsia="en-BE"/>
                    </w:rPr>
                    <w:t>April 01, 2022</w:t>
                  </w:r>
                </w:p>
              </w:tc>
            </w:tr>
          </w:tbl>
          <w:p w14:paraId="5066269C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purpose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regardless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expiration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date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authorization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stamping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Undersecretariat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State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(SET),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affected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provisions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before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date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indicated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the calendar,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according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correspond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Annex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2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3,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must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comply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procedure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communicating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numbering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used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cancellation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stamped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from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generation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means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other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exception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virtual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Withholding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Receipt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79E410D3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As of the date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which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are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obliged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only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electronically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their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authorization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stamping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pre-printed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/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self-printed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affected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lose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their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validity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in case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they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have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not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carried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out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provisions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previous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paragraph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3D666CE8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</w:tr>
      <w:tr w:rsidR="00A851EA" w:rsidRPr="00A851EA" w14:paraId="0EB4556D" w14:textId="77777777" w:rsidTr="00A851EA">
        <w:trPr>
          <w:trHeight w:val="60"/>
        </w:trPr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6489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 xml:space="preserve"> 3.-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C27F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Establish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as of April 1, 2022,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taxpayers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wish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join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SIFEN as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billers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must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comply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authorization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process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will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be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established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this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purpose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by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State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Undersecretariat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1F655D2D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</w:tr>
      <w:tr w:rsidR="00A851EA" w:rsidRPr="00A851EA" w14:paraId="620DE1F4" w14:textId="77777777" w:rsidTr="00A851EA">
        <w:trPr>
          <w:trHeight w:val="60"/>
        </w:trPr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F46A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 xml:space="preserve"> 4.-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5ABA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issuance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Electronic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must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comply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provisions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of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Decree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No. 7795/2017,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its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regulations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tax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regulations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and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must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comply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with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the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procedure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established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in the SIFEN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technical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documentation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for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each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electronic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document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.</w:t>
            </w:r>
          </w:p>
          <w:p w14:paraId="606371B4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</w:tr>
      <w:tr w:rsidR="00A851EA" w:rsidRPr="00A851EA" w14:paraId="0833756E" w14:textId="77777777" w:rsidTr="00A851EA">
        <w:trPr>
          <w:trHeight w:val="60"/>
        </w:trPr>
        <w:tc>
          <w:tcPr>
            <w:tcW w:w="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2621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>Article</w:t>
            </w:r>
            <w:proofErr w:type="spellEnd"/>
            <w:r w:rsidRPr="00A851EA">
              <w:rPr>
                <w:rFonts w:ascii="Calibri" w:eastAsia="Times New Roman" w:hAnsi="Calibri" w:cs="Calibri"/>
                <w:b/>
                <w:bCs/>
                <w:color w:val="333333"/>
                <w:lang w:val="es-ES" w:eastAsia="en-BE"/>
              </w:rPr>
              <w:t xml:space="preserve"> 5.-</w:t>
            </w:r>
          </w:p>
        </w:tc>
        <w:tc>
          <w:tcPr>
            <w:tcW w:w="4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ADAE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Publish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,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communicate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those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who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</w:t>
            </w:r>
            <w:proofErr w:type="spellStart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>correspond</w:t>
            </w:r>
            <w:proofErr w:type="spellEnd"/>
            <w:r w:rsidRPr="00A851EA">
              <w:rPr>
                <w:rFonts w:ascii="Calibri" w:eastAsia="Times New Roman" w:hAnsi="Calibri" w:cs="Calibri"/>
                <w:color w:val="333333"/>
                <w:lang w:val="es-ES" w:eastAsia="en-BE"/>
              </w:rPr>
              <w:t xml:space="preserve"> and complete file.</w:t>
            </w:r>
          </w:p>
          <w:p w14:paraId="781CE96A" w14:textId="77777777" w:rsidR="00A851EA" w:rsidRPr="00A851EA" w:rsidRDefault="00A851EA" w:rsidP="00A851E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</w:pPr>
            <w:r w:rsidRPr="00A851EA">
              <w:rPr>
                <w:rFonts w:ascii="Calibri" w:eastAsia="Times New Roman" w:hAnsi="Calibri" w:cs="Calibri"/>
                <w:color w:val="333333"/>
                <w:sz w:val="20"/>
                <w:szCs w:val="20"/>
                <w:lang w:val="en-BE" w:eastAsia="en-BE"/>
              </w:rPr>
              <w:t> </w:t>
            </w:r>
          </w:p>
        </w:tc>
      </w:tr>
    </w:tbl>
    <w:p w14:paraId="392CC26C" w14:textId="77777777" w:rsidR="00A851EA" w:rsidRPr="00A851EA" w:rsidRDefault="00A851EA" w:rsidP="00A851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  <w:t> </w:t>
      </w:r>
    </w:p>
    <w:p w14:paraId="052B6B53" w14:textId="77777777" w:rsidR="00A851EA" w:rsidRPr="00A851EA" w:rsidRDefault="00A851EA" w:rsidP="00A851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  <w:t> </w:t>
      </w:r>
    </w:p>
    <w:p w14:paraId="6DC10A91" w14:textId="77777777" w:rsidR="00A851EA" w:rsidRPr="00A851EA" w:rsidRDefault="00A851EA" w:rsidP="00A851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b/>
          <w:bCs/>
          <w:color w:val="333333"/>
          <w:lang w:val="es-ES" w:eastAsia="en-BE"/>
        </w:rPr>
        <w:t>ÓSCAR ALCIDES ORUÉ ORTÍZ</w:t>
      </w:r>
    </w:p>
    <w:p w14:paraId="21BF5E74" w14:textId="77777777" w:rsidR="00A851EA" w:rsidRPr="00A851EA" w:rsidRDefault="00A851EA" w:rsidP="00A851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b/>
          <w:bCs/>
          <w:color w:val="333333"/>
          <w:lang w:val="es-ES" w:eastAsia="en-BE"/>
        </w:rPr>
        <w:lastRenderedPageBreak/>
        <w:t xml:space="preserve">Vice </w:t>
      </w:r>
      <w:proofErr w:type="spellStart"/>
      <w:r w:rsidRPr="00A851EA">
        <w:rPr>
          <w:rFonts w:ascii="Calibri" w:eastAsia="Times New Roman" w:hAnsi="Calibri" w:cs="Calibri"/>
          <w:b/>
          <w:bCs/>
          <w:color w:val="333333"/>
          <w:lang w:val="es-ES" w:eastAsia="en-BE"/>
        </w:rPr>
        <w:t>Minister</w:t>
      </w:r>
      <w:proofErr w:type="spellEnd"/>
      <w:r w:rsidRPr="00A851EA">
        <w:rPr>
          <w:rFonts w:ascii="Calibri" w:eastAsia="Times New Roman" w:hAnsi="Calibri" w:cs="Calibri"/>
          <w:b/>
          <w:bCs/>
          <w:color w:val="333333"/>
          <w:lang w:val="es-ES" w:eastAsia="en-BE"/>
        </w:rPr>
        <w:t xml:space="preserve"> of </w:t>
      </w:r>
      <w:proofErr w:type="spellStart"/>
      <w:r w:rsidRPr="00A851EA">
        <w:rPr>
          <w:rFonts w:ascii="Calibri" w:eastAsia="Times New Roman" w:hAnsi="Calibri" w:cs="Calibri"/>
          <w:b/>
          <w:bCs/>
          <w:color w:val="333333"/>
          <w:lang w:val="es-ES" w:eastAsia="en-BE"/>
        </w:rPr>
        <w:t>Taxation</w:t>
      </w:r>
      <w:proofErr w:type="spellEnd"/>
    </w:p>
    <w:p w14:paraId="459752B2" w14:textId="77777777" w:rsidR="00A851EA" w:rsidRPr="00A851EA" w:rsidRDefault="00A851EA" w:rsidP="00A85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</w:pPr>
      <w:r w:rsidRPr="00A851EA">
        <w:rPr>
          <w:rFonts w:ascii="Calibri" w:eastAsia="Times New Roman" w:hAnsi="Calibri" w:cs="Calibri"/>
          <w:color w:val="333333"/>
          <w:sz w:val="20"/>
          <w:szCs w:val="20"/>
          <w:lang w:val="en-BE" w:eastAsia="en-BE"/>
        </w:rPr>
        <w:t> </w:t>
      </w:r>
    </w:p>
    <w:p w14:paraId="063B01D7" w14:textId="77777777" w:rsidR="003B7142" w:rsidRPr="00A851EA" w:rsidRDefault="003B7142">
      <w:pPr>
        <w:rPr>
          <w:lang w:val="en-BE"/>
        </w:rPr>
      </w:pPr>
    </w:p>
    <w:sectPr w:rsidR="003B7142" w:rsidRPr="00A8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EA"/>
    <w:rsid w:val="003B7142"/>
    <w:rsid w:val="00A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FB159"/>
  <w15:chartTrackingRefBased/>
  <w15:docId w15:val="{92CE1015-BB49-494D-8949-1F1316F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Dhont, Luc</dc:creator>
  <cp:keywords/>
  <dc:description/>
  <cp:lastModifiedBy>Dhont, Luc</cp:lastModifiedBy>
  <cp:revision>1</cp:revision>
  <dcterms:created xsi:type="dcterms:W3CDTF">2021-08-31T09:02:00Z</dcterms:created>
  <dcterms:modified xsi:type="dcterms:W3CDTF">2021-08-31T09:03:00Z</dcterms:modified>
</cp:coreProperties>
</file>