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B406D" w:rsidRDefault="00260EED" w:rsidP="00EF3DFB">
      <w:pPr>
        <w:spacing w:after="0" w:line="360" w:lineRule="auto"/>
        <w:jc w:val="center"/>
        <w:rPr>
          <w:rFonts w:ascii="Times New Roman" w:hAnsi="Times New Roman" w:cs="Times New Roman"/>
          <w:sz w:val="24"/>
          <w:szCs w:val="24"/>
        </w:rPr>
      </w:pPr>
      <w:r>
        <w:rPr>
          <w:rFonts w:ascii="Times New Roman" w:hAnsi="Times New Roman" w:cs="Times New Roman"/>
          <w:noProof/>
          <w:color w:val="000000"/>
          <w:sz w:val="24"/>
          <w:szCs w:val="24"/>
          <w:lang w:eastAsia="ro-RO"/>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62.4pt;height:74.4pt;visibility:visible">
            <v:imagedata r:id="rId8" o:title=""/>
          </v:shape>
        </w:pict>
      </w:r>
    </w:p>
    <w:p w:rsidR="00A12B55" w:rsidRDefault="00A12B55" w:rsidP="00EF3DFB">
      <w:pPr>
        <w:spacing w:after="0" w:line="360" w:lineRule="auto"/>
        <w:jc w:val="center"/>
        <w:rPr>
          <w:rFonts w:ascii="Times New Roman" w:hAnsi="Times New Roman" w:cs="Times New Roman"/>
          <w:sz w:val="24"/>
          <w:szCs w:val="24"/>
        </w:rPr>
      </w:pPr>
    </w:p>
    <w:p w:rsidR="00A12B55" w:rsidRPr="00FD557C" w:rsidRDefault="00A12B55" w:rsidP="00EF3DFB">
      <w:pPr>
        <w:spacing w:after="0" w:line="360" w:lineRule="auto"/>
        <w:jc w:val="center"/>
        <w:rPr>
          <w:rFonts w:ascii="Times New Roman" w:hAnsi="Times New Roman" w:cs="Times New Roman"/>
          <w:sz w:val="24"/>
          <w:szCs w:val="24"/>
        </w:rPr>
      </w:pPr>
    </w:p>
    <w:p w:rsidR="004B406D" w:rsidRPr="00FD557C" w:rsidRDefault="004B406D" w:rsidP="00EF3DFB">
      <w:pPr>
        <w:spacing w:after="0" w:line="360" w:lineRule="auto"/>
        <w:jc w:val="center"/>
        <w:rPr>
          <w:b/>
        </w:rPr>
      </w:pPr>
      <w:r w:rsidRPr="00FD557C">
        <w:rPr>
          <w:rFonts w:ascii="Times New Roman" w:hAnsi="Times New Roman" w:cs="Times New Roman"/>
          <w:b/>
          <w:sz w:val="24"/>
          <w:szCs w:val="24"/>
        </w:rPr>
        <w:t xml:space="preserve">LAW </w:t>
      </w:r>
    </w:p>
    <w:p w:rsidR="004B406D" w:rsidRPr="00FD557C" w:rsidRDefault="004B406D" w:rsidP="00EF3DFB">
      <w:pPr>
        <w:spacing w:after="0" w:line="360" w:lineRule="auto"/>
        <w:jc w:val="center"/>
        <w:rPr>
          <w:b/>
        </w:rPr>
      </w:pPr>
      <w:r w:rsidRPr="00FD557C">
        <w:rPr>
          <w:rFonts w:ascii="Times New Roman" w:hAnsi="Times New Roman" w:cs="Times New Roman"/>
          <w:b/>
          <w:sz w:val="24"/>
          <w:szCs w:val="24"/>
        </w:rPr>
        <w:t>amending and supplementing Law no. 227/2015 regarding the Fiscal Code</w:t>
      </w:r>
    </w:p>
    <w:p w:rsidR="004B406D" w:rsidRPr="00FD557C" w:rsidRDefault="004B406D" w:rsidP="00EF3DFB">
      <w:pPr>
        <w:spacing w:after="0" w:line="360" w:lineRule="auto"/>
        <w:jc w:val="center"/>
        <w:rPr>
          <w:rFonts w:ascii="Times New Roman" w:hAnsi="Times New Roman" w:cs="Times New Roman"/>
          <w:b/>
          <w:sz w:val="24"/>
          <w:szCs w:val="24"/>
        </w:rPr>
      </w:pPr>
    </w:p>
    <w:p w:rsidR="004B406D" w:rsidRPr="00FD557C" w:rsidRDefault="004B406D" w:rsidP="00EF3DFB">
      <w:pPr>
        <w:spacing w:after="0" w:line="360" w:lineRule="auto"/>
        <w:jc w:val="both"/>
      </w:pPr>
      <w:r w:rsidRPr="00FD557C">
        <w:rPr>
          <w:rFonts w:ascii="Times New Roman" w:eastAsia="Times New Roman" w:hAnsi="Times New Roman" w:cs="Times New Roman"/>
          <w:sz w:val="24"/>
          <w:szCs w:val="24"/>
        </w:rPr>
        <w:t xml:space="preserve"> </w:t>
      </w:r>
      <w:r w:rsidRPr="00FD557C">
        <w:rPr>
          <w:rFonts w:ascii="Times New Roman" w:hAnsi="Times New Roman" w:cs="Times New Roman"/>
          <w:b/>
          <w:bCs/>
          <w:sz w:val="24"/>
          <w:szCs w:val="24"/>
        </w:rPr>
        <w:t>The Romanian parliament</w:t>
      </w:r>
      <w:r w:rsidRPr="00FD557C">
        <w:rPr>
          <w:rFonts w:ascii="Times New Roman" w:hAnsi="Times New Roman" w:cs="Times New Roman"/>
          <w:sz w:val="24"/>
          <w:szCs w:val="24"/>
        </w:rPr>
        <w:t xml:space="preserve"> adopts this law.</w:t>
      </w:r>
    </w:p>
    <w:p w:rsidR="00A12B55" w:rsidRPr="00FD557C" w:rsidRDefault="00A12B55" w:rsidP="00EF3DFB">
      <w:pPr>
        <w:spacing w:after="0" w:line="360" w:lineRule="auto"/>
        <w:jc w:val="both"/>
        <w:rPr>
          <w:rFonts w:ascii="Times New Roman" w:hAnsi="Times New Roman" w:cs="Times New Roman"/>
          <w:sz w:val="24"/>
          <w:szCs w:val="24"/>
        </w:rPr>
      </w:pPr>
    </w:p>
    <w:p w:rsidR="00A12B55" w:rsidRPr="00FD557C" w:rsidRDefault="00A12B55" w:rsidP="00EF3DFB">
      <w:pPr>
        <w:spacing w:after="0" w:line="360" w:lineRule="auto"/>
        <w:jc w:val="both"/>
        <w:rPr>
          <w:rFonts w:ascii="Times New Roman" w:hAnsi="Times New Roman" w:cs="Times New Roman"/>
          <w:sz w:val="24"/>
          <w:szCs w:val="24"/>
        </w:rPr>
      </w:pPr>
    </w:p>
    <w:p w:rsidR="00A570A0" w:rsidRPr="00FD557C" w:rsidRDefault="00A570A0" w:rsidP="009D52EA">
      <w:pPr>
        <w:spacing w:after="0" w:line="276" w:lineRule="auto"/>
        <w:jc w:val="both"/>
        <w:rPr>
          <w:rFonts w:ascii="Times New Roman" w:hAnsi="Times New Roman" w:cs="Times New Roman"/>
          <w:sz w:val="24"/>
          <w:szCs w:val="24"/>
        </w:rPr>
      </w:pPr>
      <w:bookmarkStart w:id="0" w:name="_GoBack"/>
      <w:bookmarkEnd w:id="0"/>
    </w:p>
    <w:p w:rsidR="004B406D" w:rsidRPr="00FD557C" w:rsidRDefault="00D46AA6" w:rsidP="009D52EA">
      <w:pPr>
        <w:pStyle w:val="ListParagraph"/>
        <w:spacing w:after="0" w:line="276" w:lineRule="auto"/>
        <w:ind w:left="0"/>
        <w:jc w:val="both"/>
        <w:rPr>
          <w:rFonts w:ascii="Times New Roman" w:hAnsi="Times New Roman" w:cs="Times New Roman"/>
          <w:b/>
          <w:bCs/>
          <w:sz w:val="24"/>
          <w:szCs w:val="24"/>
        </w:rPr>
      </w:pPr>
      <w:r w:rsidRPr="00FD557C">
        <w:rPr>
          <w:rFonts w:ascii="Times New Roman" w:hAnsi="Times New Roman" w:cs="Times New Roman"/>
          <w:b/>
          <w:bCs/>
          <w:sz w:val="24"/>
          <w:szCs w:val="24"/>
        </w:rPr>
        <w:t>8. After Article 270, insert a new article, art. 2701, as follows:</w:t>
      </w:r>
    </w:p>
    <w:p w:rsidR="004B406D" w:rsidRPr="00FD557C" w:rsidRDefault="00242327" w:rsidP="009D52EA">
      <w:pPr>
        <w:spacing w:after="0" w:line="276" w:lineRule="auto"/>
        <w:jc w:val="both"/>
      </w:pPr>
      <w:r w:rsidRPr="00FD557C">
        <w:rPr>
          <w:rFonts w:ascii="Times New Roman" w:hAnsi="Times New Roman" w:cs="Times New Roman"/>
          <w:b/>
          <w:bCs/>
          <w:sz w:val="24"/>
          <w:szCs w:val="24"/>
        </w:rPr>
        <w:tab/>
      </w:r>
      <w:r w:rsidR="004B406D" w:rsidRPr="00573AE5">
        <w:rPr>
          <w:rFonts w:ascii="Times New Roman" w:hAnsi="Times New Roman" w:cs="Times New Roman"/>
          <w:bCs/>
          <w:sz w:val="24"/>
          <w:szCs w:val="24"/>
          <w:lang w:val="en-GB"/>
        </w:rPr>
        <w:t>"Art. 2701</w:t>
      </w:r>
    </w:p>
    <w:p w:rsidR="004B406D" w:rsidRPr="00FD557C" w:rsidRDefault="004B406D" w:rsidP="009D52EA">
      <w:pPr>
        <w:spacing w:after="0" w:line="276" w:lineRule="auto"/>
        <w:ind w:firstLine="708"/>
        <w:jc w:val="both"/>
      </w:pPr>
      <w:r w:rsidRPr="00573AE5">
        <w:rPr>
          <w:rFonts w:ascii="Times New Roman" w:hAnsi="Times New Roman" w:cs="Times New Roman"/>
          <w:bCs/>
          <w:sz w:val="24"/>
          <w:szCs w:val="24"/>
          <w:lang w:val="en-GB"/>
        </w:rPr>
        <w:t>Stocks available to the customer</w:t>
      </w:r>
    </w:p>
    <w:p w:rsidR="004B406D" w:rsidRPr="00FD557C" w:rsidRDefault="004B406D" w:rsidP="009D52EA">
      <w:pPr>
        <w:spacing w:after="0" w:line="276" w:lineRule="auto"/>
        <w:ind w:firstLine="708"/>
        <w:jc w:val="both"/>
      </w:pPr>
      <w:r w:rsidRPr="00475BC4">
        <w:rPr>
          <w:rFonts w:ascii="Times New Roman" w:hAnsi="Times New Roman" w:cs="Times New Roman"/>
          <w:bCs/>
          <w:sz w:val="24"/>
          <w:szCs w:val="24"/>
        </w:rPr>
        <w:t>(1) The transfer by a taxable person of goods forming part of his business assets to another Member State under the regime of stocks available to the customer is not treated as a supply of goods for consideration.</w:t>
      </w:r>
    </w:p>
    <w:p w:rsidR="004B406D" w:rsidRPr="00FD557C" w:rsidRDefault="004B406D" w:rsidP="009D52EA">
      <w:pPr>
        <w:spacing w:after="0" w:line="276" w:lineRule="auto"/>
        <w:ind w:firstLine="708"/>
        <w:jc w:val="both"/>
      </w:pPr>
      <w:r w:rsidRPr="00475BC4">
        <w:rPr>
          <w:rFonts w:ascii="Times New Roman" w:hAnsi="Times New Roman" w:cs="Times New Roman"/>
          <w:bCs/>
          <w:sz w:val="24"/>
          <w:szCs w:val="24"/>
        </w:rPr>
        <w:t>(2) For the purposes of this article, it is considered that the system of stocks are available to the customer when the following conditions are met:</w:t>
      </w:r>
    </w:p>
    <w:p w:rsidR="004B406D" w:rsidRPr="00FD557C" w:rsidRDefault="004B406D" w:rsidP="009D52EA">
      <w:pPr>
        <w:spacing w:after="0" w:line="276" w:lineRule="auto"/>
        <w:ind w:firstLine="708"/>
        <w:jc w:val="both"/>
      </w:pPr>
      <w:r w:rsidRPr="00475BC4">
        <w:rPr>
          <w:rFonts w:ascii="Times New Roman" w:hAnsi="Times New Roman" w:cs="Times New Roman"/>
          <w:bCs/>
          <w:sz w:val="24"/>
          <w:szCs w:val="24"/>
        </w:rPr>
        <w:t>a) the goods are dispatched or transported by a taxable person or a third party on his behalf to another Member State to supply such goods in that Member State at a later stage after arrival, to another taxable person who is the right to take possession of those goods in accordance with an existing agreement between both taxable persons;</w:t>
      </w:r>
    </w:p>
    <w:p w:rsidR="004B406D" w:rsidRPr="00FD557C" w:rsidRDefault="004B406D" w:rsidP="009D52EA">
      <w:pPr>
        <w:spacing w:after="0" w:line="276" w:lineRule="auto"/>
        <w:ind w:firstLine="708"/>
        <w:jc w:val="both"/>
      </w:pPr>
      <w:r w:rsidRPr="00475BC4">
        <w:rPr>
          <w:rFonts w:ascii="Times New Roman" w:hAnsi="Times New Roman" w:cs="Times New Roman"/>
          <w:bCs/>
          <w:sz w:val="24"/>
          <w:szCs w:val="24"/>
        </w:rPr>
        <w:t>b) the taxable person consigning or transporting goods has not established the economic activity nor has a fixed establishment in the Member State to which the goods are dispatched or transported;</w:t>
      </w:r>
    </w:p>
    <w:p w:rsidR="00767102" w:rsidRPr="00475BC4" w:rsidRDefault="004B406D" w:rsidP="009D52EA">
      <w:pPr>
        <w:spacing w:after="0" w:line="276" w:lineRule="auto"/>
        <w:ind w:firstLine="708"/>
        <w:jc w:val="both"/>
        <w:rPr>
          <w:rFonts w:ascii="Times New Roman" w:hAnsi="Times New Roman" w:cs="Times New Roman"/>
          <w:bCs/>
          <w:sz w:val="24"/>
          <w:szCs w:val="24"/>
        </w:rPr>
      </w:pPr>
      <w:r w:rsidRPr="00475BC4">
        <w:rPr>
          <w:rFonts w:ascii="Times New Roman" w:hAnsi="Times New Roman" w:cs="Times New Roman"/>
          <w:bCs/>
          <w:sz w:val="24"/>
          <w:szCs w:val="24"/>
        </w:rPr>
        <w:t>c) the taxable person to whom they are to be delivered goods is identified for VAT in the Member State to which they are dispatched or transported goods and both his identity and registration code for VAT purposes assigned to it by the Member State They are known by the taxable person referred to in subparagraph b) when the dispatch or transport. If the goods are dispatched from another Member State in Romania, registration code for VAT purposes of the taxable person for whom the goods, is the registration code for VAT purposes assigned according to art. 316 or 317;</w:t>
      </w:r>
    </w:p>
    <w:p w:rsidR="007E7A1A" w:rsidRPr="00475BC4" w:rsidRDefault="004B406D" w:rsidP="009D52EA">
      <w:pPr>
        <w:spacing w:after="0" w:line="276" w:lineRule="auto"/>
        <w:ind w:firstLine="708"/>
        <w:jc w:val="both"/>
        <w:rPr>
          <w:rFonts w:ascii="Times New Roman" w:hAnsi="Times New Roman" w:cs="Times New Roman"/>
          <w:bCs/>
          <w:sz w:val="24"/>
          <w:szCs w:val="24"/>
        </w:rPr>
      </w:pPr>
      <w:r w:rsidRPr="00475BC4">
        <w:rPr>
          <w:rFonts w:ascii="Times New Roman" w:hAnsi="Times New Roman" w:cs="Times New Roman"/>
          <w:bCs/>
          <w:sz w:val="24"/>
          <w:szCs w:val="24"/>
        </w:rPr>
        <w:t>d) the taxable person consigning or transporting goods registered transfer of property in the register provided in Art. 321 par. (6) where the goods are dispatched or transported from Romania in another Member State, or where the goods are dispatched or transported from another Member State in Romania, in the relevant register under the provisions of that Member State and include identity taxable person acquiring the goods and the registration code for VAT purposes assigned to it by the Member State to which the goods are dispatched or transported summary declaration referred to in art. 325 or correspondent this article in its law of dispatch or transport.</w:t>
      </w:r>
    </w:p>
    <w:p w:rsidR="00D86B1A" w:rsidRPr="00573AE5" w:rsidRDefault="004B406D" w:rsidP="009D52EA">
      <w:pPr>
        <w:spacing w:after="0" w:line="276" w:lineRule="auto"/>
        <w:ind w:firstLine="708"/>
        <w:jc w:val="both"/>
        <w:rPr>
          <w:rFonts w:ascii="Times New Roman" w:hAnsi="Times New Roman" w:cs="Times New Roman"/>
          <w:bCs/>
          <w:sz w:val="24"/>
          <w:szCs w:val="24"/>
          <w:lang w:val="en-GB"/>
        </w:rPr>
      </w:pPr>
      <w:r w:rsidRPr="00573AE5">
        <w:rPr>
          <w:rFonts w:ascii="Times New Roman" w:hAnsi="Times New Roman" w:cs="Times New Roman"/>
          <w:bCs/>
          <w:sz w:val="24"/>
          <w:szCs w:val="24"/>
          <w:lang w:val="en-GB"/>
        </w:rPr>
        <w:lastRenderedPageBreak/>
        <w:t>(3) If the conditions set out in par. (2) and transfer the right to dispose of goods as owner by the taxable person referred to in para. (2) c) takes place within the period referred to in para. (4) when the transfer is considered:</w:t>
      </w:r>
    </w:p>
    <w:p w:rsidR="00D86B1A" w:rsidRPr="00573AE5" w:rsidRDefault="00D86B1A" w:rsidP="009D52EA">
      <w:pPr>
        <w:spacing w:after="0" w:line="276" w:lineRule="auto"/>
        <w:ind w:firstLine="708"/>
        <w:jc w:val="both"/>
        <w:rPr>
          <w:rFonts w:ascii="Times New Roman" w:hAnsi="Times New Roman" w:cs="Times New Roman"/>
          <w:bCs/>
          <w:sz w:val="24"/>
          <w:szCs w:val="24"/>
          <w:lang w:val="en-GB"/>
        </w:rPr>
      </w:pPr>
      <w:r w:rsidRPr="00573AE5">
        <w:rPr>
          <w:rFonts w:ascii="Times New Roman" w:hAnsi="Times New Roman" w:cs="Times New Roman"/>
          <w:bCs/>
          <w:sz w:val="24"/>
          <w:szCs w:val="24"/>
          <w:lang w:val="en-GB"/>
        </w:rPr>
        <w:t>a) confirm that the delivery of goods in accordance with art. 294 par. (2) a) of the taxable person who sent or transported goods, either itself or through a third party, where Romania is a Member State of which have been dispatched or transported goods, and a purchase intra-Community Member State of destination;</w:t>
      </w:r>
    </w:p>
    <w:p w:rsidR="00D86B1A" w:rsidRPr="00573AE5" w:rsidRDefault="00D86B1A" w:rsidP="009D52EA">
      <w:pPr>
        <w:spacing w:after="0" w:line="276" w:lineRule="auto"/>
        <w:ind w:firstLine="708"/>
        <w:jc w:val="both"/>
        <w:rPr>
          <w:rFonts w:ascii="Times New Roman" w:hAnsi="Times New Roman" w:cs="Times New Roman"/>
          <w:bCs/>
          <w:sz w:val="24"/>
          <w:szCs w:val="24"/>
          <w:lang w:val="en-GB"/>
        </w:rPr>
      </w:pPr>
      <w:r w:rsidRPr="00573AE5">
        <w:rPr>
          <w:rFonts w:ascii="Times New Roman" w:hAnsi="Times New Roman" w:cs="Times New Roman"/>
          <w:bCs/>
          <w:sz w:val="24"/>
          <w:szCs w:val="24"/>
          <w:lang w:val="en-GB"/>
        </w:rPr>
        <w:t>b) confirm that the Community acquisition of goods in Romania by the taxable person to whom the supply is concerned, according to art. 273 par. (1), where Romania is a Member State that have been dispatched or transported goods, and intra-Community supply in the Member State where the goods were dispatched or transported.</w:t>
      </w:r>
    </w:p>
    <w:p w:rsidR="007D7CF1" w:rsidRPr="00573AE5" w:rsidRDefault="00A6719D" w:rsidP="009D52EA">
      <w:pPr>
        <w:spacing w:after="0" w:line="276" w:lineRule="auto"/>
        <w:jc w:val="both"/>
        <w:rPr>
          <w:rFonts w:ascii="Times New Roman" w:hAnsi="Times New Roman" w:cs="Times New Roman"/>
          <w:bCs/>
          <w:sz w:val="24"/>
          <w:szCs w:val="24"/>
          <w:lang w:val="en-GB"/>
        </w:rPr>
      </w:pPr>
      <w:r w:rsidRPr="00573AE5">
        <w:rPr>
          <w:rFonts w:ascii="Times New Roman" w:hAnsi="Times New Roman" w:cs="Times New Roman"/>
          <w:bCs/>
          <w:sz w:val="24"/>
          <w:szCs w:val="24"/>
          <w:lang w:val="en-GB"/>
        </w:rPr>
        <w:tab/>
      </w:r>
      <w:r w:rsidR="004B406D" w:rsidRPr="00573AE5">
        <w:rPr>
          <w:rFonts w:ascii="Times New Roman" w:hAnsi="Times New Roman" w:cs="Times New Roman"/>
          <w:bCs/>
          <w:sz w:val="24"/>
          <w:szCs w:val="24"/>
          <w:lang w:val="en-GB"/>
        </w:rPr>
        <w:t>(4) If within 12 months from the arrival of the goods in the Member State to which they were dispatched or transported, the goods have not been delivered to the taxable person to whom were listed for par. (2) c) and paragraph. (6) and does not occur at any of the circumstances mentioned in para. (7), it is considered that:</w:t>
      </w:r>
    </w:p>
    <w:p w:rsidR="007D7CF1" w:rsidRPr="00573AE5" w:rsidRDefault="007D7CF1" w:rsidP="009D52EA">
      <w:pPr>
        <w:spacing w:after="0" w:line="276" w:lineRule="auto"/>
        <w:ind w:firstLine="708"/>
        <w:jc w:val="both"/>
        <w:rPr>
          <w:rFonts w:ascii="Times New Roman" w:hAnsi="Times New Roman" w:cs="Times New Roman"/>
          <w:bCs/>
          <w:sz w:val="24"/>
          <w:szCs w:val="24"/>
          <w:lang w:val="en-GB"/>
        </w:rPr>
      </w:pPr>
      <w:r w:rsidRPr="00573AE5">
        <w:rPr>
          <w:rFonts w:ascii="Times New Roman" w:hAnsi="Times New Roman" w:cs="Times New Roman"/>
          <w:bCs/>
          <w:sz w:val="24"/>
          <w:szCs w:val="24"/>
          <w:lang w:val="en-GB"/>
        </w:rPr>
        <w:t>a) there is a transfer within the meaning of art. 270 par. (10) the day following the expiration of 12 months, where Romania is the Member State in which the goods were dispatched or transported, and an intra-Community acquisition in the Member State of destination;</w:t>
      </w:r>
    </w:p>
    <w:p w:rsidR="007D7CF1" w:rsidRPr="00FD557C" w:rsidRDefault="007D7CF1" w:rsidP="009D52EA">
      <w:pPr>
        <w:spacing w:after="0" w:line="276" w:lineRule="auto"/>
        <w:jc w:val="both"/>
        <w:rPr>
          <w:rFonts w:ascii="Times New Roman" w:hAnsi="Times New Roman" w:cs="Times New Roman"/>
          <w:bCs/>
          <w:sz w:val="24"/>
          <w:szCs w:val="24"/>
          <w:lang w:val="en-US"/>
        </w:rPr>
      </w:pPr>
      <w:r w:rsidRPr="00573AE5">
        <w:rPr>
          <w:rFonts w:ascii="Times New Roman" w:hAnsi="Times New Roman" w:cs="Times New Roman"/>
          <w:bCs/>
          <w:sz w:val="24"/>
          <w:szCs w:val="24"/>
          <w:lang w:val="en-GB"/>
        </w:rPr>
        <w:t xml:space="preserve"> </w:t>
      </w:r>
      <w:r w:rsidRPr="00573AE5">
        <w:rPr>
          <w:rFonts w:ascii="Times New Roman" w:hAnsi="Times New Roman" w:cs="Times New Roman"/>
          <w:bCs/>
          <w:sz w:val="24"/>
          <w:szCs w:val="24"/>
          <w:lang w:val="en-GB"/>
        </w:rPr>
        <w:tab/>
      </w:r>
      <w:r w:rsidRPr="00FD557C">
        <w:rPr>
          <w:rFonts w:ascii="Times New Roman" w:hAnsi="Times New Roman" w:cs="Times New Roman"/>
          <w:bCs/>
          <w:sz w:val="24"/>
          <w:szCs w:val="24"/>
          <w:lang w:val="en-US"/>
        </w:rPr>
        <w:t xml:space="preserve">b) there is an intra-Community acquisition within the meaning of art. 273 par. (2) a) the day following the expiration of 12 months, where Romania is the Member State to which the goods were dispatched or </w:t>
      </w:r>
      <w:proofErr w:type="gramStart"/>
      <w:r w:rsidRPr="00FD557C">
        <w:rPr>
          <w:rFonts w:ascii="Times New Roman" w:hAnsi="Times New Roman" w:cs="Times New Roman"/>
          <w:bCs/>
          <w:sz w:val="24"/>
          <w:szCs w:val="24"/>
          <w:lang w:val="en-US"/>
        </w:rPr>
        <w:t>transported, and</w:t>
      </w:r>
      <w:proofErr w:type="gramEnd"/>
      <w:r w:rsidRPr="00FD557C">
        <w:rPr>
          <w:rFonts w:ascii="Times New Roman" w:hAnsi="Times New Roman" w:cs="Times New Roman"/>
          <w:bCs/>
          <w:sz w:val="24"/>
          <w:szCs w:val="24"/>
          <w:lang w:val="en-US"/>
        </w:rPr>
        <w:t xml:space="preserve"> transfer the Member State from which the goods were dispatched or transported.</w:t>
      </w:r>
    </w:p>
    <w:p w:rsidR="004B406D" w:rsidRPr="00FD557C" w:rsidRDefault="004B406D" w:rsidP="009D52EA">
      <w:pPr>
        <w:spacing w:after="0" w:line="276" w:lineRule="auto"/>
        <w:ind w:firstLine="708"/>
        <w:jc w:val="both"/>
      </w:pPr>
      <w:r w:rsidRPr="00FD557C">
        <w:rPr>
          <w:rFonts w:ascii="Times New Roman" w:hAnsi="Times New Roman" w:cs="Times New Roman"/>
          <w:bCs/>
          <w:sz w:val="24"/>
          <w:szCs w:val="24"/>
          <w:lang w:val="en-US"/>
        </w:rPr>
        <w:t>(5) It is not considered that there is a transfer within the meaning of art. 270 par. (10) if the following conditions are met:</w:t>
      </w:r>
    </w:p>
    <w:p w:rsidR="004B406D" w:rsidRPr="00FD557C" w:rsidRDefault="004B406D" w:rsidP="009D52EA">
      <w:pPr>
        <w:spacing w:after="0" w:line="276" w:lineRule="auto"/>
        <w:ind w:firstLine="708"/>
        <w:jc w:val="both"/>
      </w:pPr>
      <w:r w:rsidRPr="00573AE5">
        <w:rPr>
          <w:rFonts w:ascii="Times New Roman" w:hAnsi="Times New Roman" w:cs="Times New Roman"/>
          <w:bCs/>
          <w:sz w:val="24"/>
          <w:szCs w:val="24"/>
          <w:lang w:val="en-GB"/>
        </w:rPr>
        <w:t xml:space="preserve">a) the right to dispose of the goods have been transferred, and those goods are returned in the Member State of which have been dispatched or transported within the period referred to in </w:t>
      </w:r>
      <w:proofErr w:type="gramStart"/>
      <w:r w:rsidRPr="00573AE5">
        <w:rPr>
          <w:rFonts w:ascii="Times New Roman" w:hAnsi="Times New Roman" w:cs="Times New Roman"/>
          <w:bCs/>
          <w:sz w:val="24"/>
          <w:szCs w:val="24"/>
          <w:lang w:val="en-GB"/>
        </w:rPr>
        <w:t>para.</w:t>
      </w:r>
      <w:r w:rsidRPr="00FD557C">
        <w:rPr>
          <w:rFonts w:ascii="Times New Roman" w:hAnsi="Times New Roman" w:cs="Times New Roman"/>
          <w:bCs/>
          <w:sz w:val="24"/>
          <w:szCs w:val="24"/>
          <w:lang w:val="en-US"/>
        </w:rPr>
        <w:t>(</w:t>
      </w:r>
      <w:proofErr w:type="gramEnd"/>
      <w:r w:rsidRPr="00FD557C">
        <w:rPr>
          <w:rFonts w:ascii="Times New Roman" w:hAnsi="Times New Roman" w:cs="Times New Roman"/>
          <w:bCs/>
          <w:sz w:val="24"/>
          <w:szCs w:val="24"/>
          <w:lang w:val="en-US"/>
        </w:rPr>
        <w:t>4); and</w:t>
      </w:r>
    </w:p>
    <w:p w:rsidR="004B406D" w:rsidRPr="00FD557C" w:rsidRDefault="004B406D" w:rsidP="009D52EA">
      <w:pPr>
        <w:spacing w:after="0" w:line="276" w:lineRule="auto"/>
        <w:ind w:firstLine="708"/>
        <w:jc w:val="both"/>
      </w:pPr>
      <w:r w:rsidRPr="00FD557C">
        <w:rPr>
          <w:rFonts w:ascii="Times New Roman" w:hAnsi="Times New Roman" w:cs="Times New Roman"/>
          <w:bCs/>
          <w:sz w:val="24"/>
          <w:szCs w:val="24"/>
          <w:lang w:val="en-US"/>
        </w:rPr>
        <w:t>b) the taxable person who sent or transported goods return their records in the register provided in Art. 321 par. (6).</w:t>
      </w:r>
    </w:p>
    <w:p w:rsidR="004B406D" w:rsidRPr="00FD557C" w:rsidRDefault="004B406D" w:rsidP="009D52EA">
      <w:pPr>
        <w:spacing w:after="0" w:line="276" w:lineRule="auto"/>
        <w:ind w:firstLine="708"/>
        <w:jc w:val="both"/>
      </w:pPr>
      <w:r w:rsidRPr="00FD557C">
        <w:rPr>
          <w:rFonts w:ascii="Times New Roman" w:hAnsi="Times New Roman" w:cs="Times New Roman"/>
          <w:bCs/>
          <w:sz w:val="24"/>
          <w:szCs w:val="24"/>
          <w:lang w:val="en-US"/>
        </w:rPr>
        <w:t>(6) If the period referred to in paragraph. (4) the taxable person referred to in para. (2) c) is replaced by another taxable person does not consider that there is a transfer within the meaning of art. 270 par. (10) at the time of replacement, with the following conditions:</w:t>
      </w:r>
    </w:p>
    <w:p w:rsidR="004B406D" w:rsidRPr="00FD557C" w:rsidRDefault="004B406D" w:rsidP="009D52EA">
      <w:pPr>
        <w:spacing w:after="0" w:line="276" w:lineRule="auto"/>
        <w:ind w:firstLine="708"/>
        <w:jc w:val="both"/>
      </w:pPr>
      <w:r w:rsidRPr="00573AE5">
        <w:rPr>
          <w:rFonts w:ascii="Times New Roman" w:hAnsi="Times New Roman" w:cs="Times New Roman"/>
          <w:bCs/>
          <w:sz w:val="24"/>
          <w:szCs w:val="24"/>
          <w:lang w:val="en-GB"/>
        </w:rPr>
        <w:t>a) all the other conditions applicable to par. (2); and</w:t>
      </w:r>
    </w:p>
    <w:p w:rsidR="004B406D" w:rsidRPr="00FD557C" w:rsidRDefault="004B406D" w:rsidP="009D52EA">
      <w:pPr>
        <w:spacing w:after="0" w:line="276" w:lineRule="auto"/>
        <w:ind w:firstLine="708"/>
        <w:jc w:val="both"/>
      </w:pPr>
      <w:r w:rsidRPr="00573AE5">
        <w:rPr>
          <w:rFonts w:ascii="Times New Roman" w:hAnsi="Times New Roman" w:cs="Times New Roman"/>
          <w:bCs/>
          <w:sz w:val="24"/>
          <w:szCs w:val="24"/>
          <w:lang w:val="en-GB"/>
        </w:rPr>
        <w:t>b) substitution shall register the taxable person referred to in para. (2) b) the register provided for in art. 321 par. (6).</w:t>
      </w:r>
    </w:p>
    <w:p w:rsidR="004B406D" w:rsidRPr="00FD557C" w:rsidRDefault="004B406D" w:rsidP="009D52EA">
      <w:pPr>
        <w:spacing w:after="0" w:line="276" w:lineRule="auto"/>
        <w:ind w:firstLine="708"/>
        <w:jc w:val="both"/>
      </w:pPr>
      <w:r w:rsidRPr="00573AE5">
        <w:rPr>
          <w:rFonts w:ascii="Times New Roman" w:hAnsi="Times New Roman" w:cs="Times New Roman"/>
          <w:bCs/>
          <w:sz w:val="24"/>
          <w:szCs w:val="24"/>
          <w:lang w:val="en-GB"/>
        </w:rPr>
        <w:t xml:space="preserve">(7) </w:t>
      </w:r>
      <w:proofErr w:type="spellStart"/>
      <w:r w:rsidRPr="00573AE5">
        <w:rPr>
          <w:rFonts w:ascii="Times New Roman" w:hAnsi="Times New Roman" w:cs="Times New Roman"/>
          <w:bCs/>
          <w:sz w:val="24"/>
          <w:szCs w:val="24"/>
          <w:lang w:val="en-GB"/>
        </w:rPr>
        <w:t>În</w:t>
      </w:r>
      <w:proofErr w:type="spellEnd"/>
      <w:r w:rsidRPr="00573AE5">
        <w:rPr>
          <w:rFonts w:ascii="Times New Roman" w:hAnsi="Times New Roman" w:cs="Times New Roman"/>
          <w:bCs/>
          <w:sz w:val="24"/>
          <w:szCs w:val="24"/>
          <w:lang w:val="en-GB"/>
        </w:rPr>
        <w:t xml:space="preserve"> </w:t>
      </w:r>
      <w:proofErr w:type="spellStart"/>
      <w:r w:rsidRPr="00573AE5">
        <w:rPr>
          <w:rFonts w:ascii="Times New Roman" w:hAnsi="Times New Roman" w:cs="Times New Roman"/>
          <w:bCs/>
          <w:sz w:val="24"/>
          <w:szCs w:val="24"/>
          <w:lang w:val="en-GB"/>
        </w:rPr>
        <w:t>cazul</w:t>
      </w:r>
      <w:proofErr w:type="spellEnd"/>
      <w:r w:rsidRPr="00573AE5">
        <w:rPr>
          <w:rFonts w:ascii="Times New Roman" w:hAnsi="Times New Roman" w:cs="Times New Roman"/>
          <w:bCs/>
          <w:sz w:val="24"/>
          <w:szCs w:val="24"/>
          <w:lang w:val="en-GB"/>
        </w:rPr>
        <w:t xml:space="preserve"> </w:t>
      </w:r>
      <w:proofErr w:type="spellStart"/>
      <w:r w:rsidRPr="00573AE5">
        <w:rPr>
          <w:rFonts w:ascii="Times New Roman" w:hAnsi="Times New Roman" w:cs="Times New Roman"/>
          <w:bCs/>
          <w:sz w:val="24"/>
          <w:szCs w:val="24"/>
          <w:lang w:val="en-GB"/>
        </w:rPr>
        <w:t>în</w:t>
      </w:r>
      <w:proofErr w:type="spellEnd"/>
      <w:r w:rsidRPr="00573AE5">
        <w:rPr>
          <w:rFonts w:ascii="Times New Roman" w:hAnsi="Times New Roman" w:cs="Times New Roman"/>
          <w:bCs/>
          <w:sz w:val="24"/>
          <w:szCs w:val="24"/>
          <w:lang w:val="en-GB"/>
        </w:rPr>
        <w:t xml:space="preserve"> care </w:t>
      </w:r>
      <w:proofErr w:type="spellStart"/>
      <w:r w:rsidRPr="00573AE5">
        <w:rPr>
          <w:rFonts w:ascii="Times New Roman" w:hAnsi="Times New Roman" w:cs="Times New Roman"/>
          <w:bCs/>
          <w:sz w:val="24"/>
          <w:szCs w:val="24"/>
          <w:lang w:val="en-GB"/>
        </w:rPr>
        <w:t>în</w:t>
      </w:r>
      <w:proofErr w:type="spellEnd"/>
      <w:r w:rsidRPr="00573AE5">
        <w:rPr>
          <w:rFonts w:ascii="Times New Roman" w:hAnsi="Times New Roman" w:cs="Times New Roman"/>
          <w:bCs/>
          <w:sz w:val="24"/>
          <w:szCs w:val="24"/>
          <w:lang w:val="en-GB"/>
        </w:rPr>
        <w:t xml:space="preserve"> </w:t>
      </w:r>
      <w:proofErr w:type="spellStart"/>
      <w:r w:rsidRPr="00573AE5">
        <w:rPr>
          <w:rFonts w:ascii="Times New Roman" w:hAnsi="Times New Roman" w:cs="Times New Roman"/>
          <w:bCs/>
          <w:sz w:val="24"/>
          <w:szCs w:val="24"/>
          <w:lang w:val="en-GB"/>
        </w:rPr>
        <w:t>termenul</w:t>
      </w:r>
      <w:proofErr w:type="spellEnd"/>
      <w:r w:rsidRPr="00573AE5">
        <w:rPr>
          <w:rFonts w:ascii="Times New Roman" w:hAnsi="Times New Roman" w:cs="Times New Roman"/>
          <w:bCs/>
          <w:sz w:val="24"/>
          <w:szCs w:val="24"/>
          <w:lang w:val="en-GB"/>
        </w:rPr>
        <w:t xml:space="preserve"> </w:t>
      </w:r>
      <w:proofErr w:type="spellStart"/>
      <w:r w:rsidRPr="00573AE5">
        <w:rPr>
          <w:rFonts w:ascii="Times New Roman" w:hAnsi="Times New Roman" w:cs="Times New Roman"/>
          <w:bCs/>
          <w:sz w:val="24"/>
          <w:szCs w:val="24"/>
          <w:lang w:val="en-GB"/>
        </w:rPr>
        <w:t>prevăzut</w:t>
      </w:r>
      <w:proofErr w:type="spellEnd"/>
      <w:r w:rsidRPr="00573AE5">
        <w:rPr>
          <w:rFonts w:ascii="Times New Roman" w:hAnsi="Times New Roman" w:cs="Times New Roman"/>
          <w:bCs/>
          <w:sz w:val="24"/>
          <w:szCs w:val="24"/>
          <w:lang w:val="en-GB"/>
        </w:rPr>
        <w:t xml:space="preserve"> la </w:t>
      </w:r>
      <w:proofErr w:type="spellStart"/>
      <w:r w:rsidRPr="00573AE5">
        <w:rPr>
          <w:rFonts w:ascii="Times New Roman" w:hAnsi="Times New Roman" w:cs="Times New Roman"/>
          <w:bCs/>
          <w:sz w:val="24"/>
          <w:szCs w:val="24"/>
          <w:lang w:val="en-GB"/>
        </w:rPr>
        <w:t>alin</w:t>
      </w:r>
      <w:proofErr w:type="spellEnd"/>
      <w:r w:rsidRPr="00573AE5">
        <w:rPr>
          <w:rFonts w:ascii="Times New Roman" w:hAnsi="Times New Roman" w:cs="Times New Roman"/>
          <w:bCs/>
          <w:sz w:val="24"/>
          <w:szCs w:val="24"/>
          <w:lang w:val="en-GB"/>
        </w:rPr>
        <w:t xml:space="preserve">. </w:t>
      </w:r>
      <w:r w:rsidRPr="00475BC4">
        <w:rPr>
          <w:rFonts w:ascii="Times New Roman" w:hAnsi="Times New Roman" w:cs="Times New Roman"/>
          <w:bCs/>
          <w:sz w:val="24"/>
          <w:szCs w:val="24"/>
          <w:lang w:val="fr-BE"/>
        </w:rPr>
        <w:t xml:space="preserve">(4) nu mai este </w:t>
      </w:r>
      <w:proofErr w:type="spellStart"/>
      <w:r w:rsidRPr="00475BC4">
        <w:rPr>
          <w:rFonts w:ascii="Times New Roman" w:hAnsi="Times New Roman" w:cs="Times New Roman"/>
          <w:bCs/>
          <w:sz w:val="24"/>
          <w:szCs w:val="24"/>
          <w:lang w:val="fr-BE"/>
        </w:rPr>
        <w:t>îndeplinită</w:t>
      </w:r>
      <w:proofErr w:type="spellEnd"/>
      <w:r w:rsidRPr="00475BC4">
        <w:rPr>
          <w:rFonts w:ascii="Times New Roman" w:hAnsi="Times New Roman" w:cs="Times New Roman"/>
          <w:bCs/>
          <w:sz w:val="24"/>
          <w:szCs w:val="24"/>
          <w:lang w:val="fr-BE"/>
        </w:rPr>
        <w:t xml:space="preserve"> </w:t>
      </w:r>
      <w:proofErr w:type="spellStart"/>
      <w:r w:rsidRPr="00475BC4">
        <w:rPr>
          <w:rFonts w:ascii="Times New Roman" w:hAnsi="Times New Roman" w:cs="Times New Roman"/>
          <w:bCs/>
          <w:sz w:val="24"/>
          <w:szCs w:val="24"/>
          <w:lang w:val="fr-BE"/>
        </w:rPr>
        <w:t>oricare</w:t>
      </w:r>
      <w:proofErr w:type="spellEnd"/>
      <w:r w:rsidRPr="00475BC4">
        <w:rPr>
          <w:rFonts w:ascii="Times New Roman" w:hAnsi="Times New Roman" w:cs="Times New Roman"/>
          <w:bCs/>
          <w:sz w:val="24"/>
          <w:szCs w:val="24"/>
          <w:lang w:val="fr-BE"/>
        </w:rPr>
        <w:t xml:space="preserve"> </w:t>
      </w:r>
      <w:proofErr w:type="spellStart"/>
      <w:r w:rsidRPr="00475BC4">
        <w:rPr>
          <w:rFonts w:ascii="Times New Roman" w:hAnsi="Times New Roman" w:cs="Times New Roman"/>
          <w:bCs/>
          <w:sz w:val="24"/>
          <w:szCs w:val="24"/>
          <w:lang w:val="fr-BE"/>
        </w:rPr>
        <w:t>dintre</w:t>
      </w:r>
      <w:proofErr w:type="spellEnd"/>
      <w:r w:rsidRPr="00475BC4">
        <w:rPr>
          <w:rFonts w:ascii="Times New Roman" w:hAnsi="Times New Roman" w:cs="Times New Roman"/>
          <w:bCs/>
          <w:sz w:val="24"/>
          <w:szCs w:val="24"/>
          <w:lang w:val="fr-BE"/>
        </w:rPr>
        <w:t xml:space="preserve"> </w:t>
      </w:r>
      <w:proofErr w:type="spellStart"/>
      <w:r w:rsidRPr="00475BC4">
        <w:rPr>
          <w:rFonts w:ascii="Times New Roman" w:hAnsi="Times New Roman" w:cs="Times New Roman"/>
          <w:bCs/>
          <w:sz w:val="24"/>
          <w:szCs w:val="24"/>
          <w:lang w:val="fr-BE"/>
        </w:rPr>
        <w:t>condițiile</w:t>
      </w:r>
      <w:proofErr w:type="spellEnd"/>
      <w:r w:rsidRPr="00475BC4">
        <w:rPr>
          <w:rFonts w:ascii="Times New Roman" w:hAnsi="Times New Roman" w:cs="Times New Roman"/>
          <w:bCs/>
          <w:sz w:val="24"/>
          <w:szCs w:val="24"/>
          <w:lang w:val="fr-BE"/>
        </w:rPr>
        <w:t xml:space="preserve"> </w:t>
      </w:r>
      <w:proofErr w:type="spellStart"/>
      <w:r w:rsidRPr="00475BC4">
        <w:rPr>
          <w:rFonts w:ascii="Times New Roman" w:hAnsi="Times New Roman" w:cs="Times New Roman"/>
          <w:bCs/>
          <w:sz w:val="24"/>
          <w:szCs w:val="24"/>
          <w:lang w:val="fr-BE"/>
        </w:rPr>
        <w:t>stabilite</w:t>
      </w:r>
      <w:proofErr w:type="spellEnd"/>
      <w:r w:rsidRPr="00475BC4">
        <w:rPr>
          <w:rFonts w:ascii="Times New Roman" w:hAnsi="Times New Roman" w:cs="Times New Roman"/>
          <w:bCs/>
          <w:sz w:val="24"/>
          <w:szCs w:val="24"/>
          <w:lang w:val="fr-BE"/>
        </w:rPr>
        <w:t xml:space="preserve"> la </w:t>
      </w:r>
      <w:proofErr w:type="spellStart"/>
      <w:r w:rsidRPr="00475BC4">
        <w:rPr>
          <w:rFonts w:ascii="Times New Roman" w:hAnsi="Times New Roman" w:cs="Times New Roman"/>
          <w:bCs/>
          <w:sz w:val="24"/>
          <w:szCs w:val="24"/>
          <w:lang w:val="fr-BE"/>
        </w:rPr>
        <w:t>alin</w:t>
      </w:r>
      <w:proofErr w:type="spellEnd"/>
      <w:r w:rsidRPr="00475BC4">
        <w:rPr>
          <w:rFonts w:ascii="Times New Roman" w:hAnsi="Times New Roman" w:cs="Times New Roman"/>
          <w:bCs/>
          <w:sz w:val="24"/>
          <w:szCs w:val="24"/>
          <w:lang w:val="fr-BE"/>
        </w:rPr>
        <w:t xml:space="preserve">. (2) </w:t>
      </w:r>
      <w:proofErr w:type="spellStart"/>
      <w:r w:rsidRPr="00475BC4">
        <w:rPr>
          <w:rFonts w:ascii="Times New Roman" w:hAnsi="Times New Roman" w:cs="Times New Roman"/>
          <w:bCs/>
          <w:sz w:val="24"/>
          <w:szCs w:val="24"/>
          <w:lang w:val="fr-BE"/>
        </w:rPr>
        <w:t>și</w:t>
      </w:r>
      <w:proofErr w:type="spellEnd"/>
      <w:r w:rsidRPr="00475BC4">
        <w:rPr>
          <w:rFonts w:ascii="Times New Roman" w:hAnsi="Times New Roman" w:cs="Times New Roman"/>
          <w:bCs/>
          <w:sz w:val="24"/>
          <w:szCs w:val="24"/>
          <w:lang w:val="fr-BE"/>
        </w:rPr>
        <w:t xml:space="preserve"> (6), </w:t>
      </w:r>
      <w:proofErr w:type="spellStart"/>
      <w:r w:rsidRPr="00475BC4">
        <w:rPr>
          <w:rFonts w:ascii="Times New Roman" w:hAnsi="Times New Roman" w:cs="Times New Roman"/>
          <w:bCs/>
          <w:sz w:val="24"/>
          <w:szCs w:val="24"/>
          <w:lang w:val="fr-BE"/>
        </w:rPr>
        <w:t>în</w:t>
      </w:r>
      <w:proofErr w:type="spellEnd"/>
      <w:r w:rsidRPr="00475BC4">
        <w:rPr>
          <w:rFonts w:ascii="Times New Roman" w:hAnsi="Times New Roman" w:cs="Times New Roman"/>
          <w:bCs/>
          <w:sz w:val="24"/>
          <w:szCs w:val="24"/>
          <w:lang w:val="fr-BE"/>
        </w:rPr>
        <w:t xml:space="preserve"> </w:t>
      </w:r>
      <w:proofErr w:type="spellStart"/>
      <w:r w:rsidRPr="00475BC4">
        <w:rPr>
          <w:rFonts w:ascii="Times New Roman" w:hAnsi="Times New Roman" w:cs="Times New Roman"/>
          <w:bCs/>
          <w:sz w:val="24"/>
          <w:szCs w:val="24"/>
          <w:lang w:val="fr-BE"/>
        </w:rPr>
        <w:t>conformitate</w:t>
      </w:r>
      <w:proofErr w:type="spellEnd"/>
      <w:r w:rsidRPr="00475BC4">
        <w:rPr>
          <w:rFonts w:ascii="Times New Roman" w:hAnsi="Times New Roman" w:cs="Times New Roman"/>
          <w:bCs/>
          <w:sz w:val="24"/>
          <w:szCs w:val="24"/>
          <w:lang w:val="fr-BE"/>
        </w:rPr>
        <w:t xml:space="preserve"> </w:t>
      </w:r>
      <w:proofErr w:type="spellStart"/>
      <w:r w:rsidRPr="00475BC4">
        <w:rPr>
          <w:rFonts w:ascii="Times New Roman" w:hAnsi="Times New Roman" w:cs="Times New Roman"/>
          <w:bCs/>
          <w:sz w:val="24"/>
          <w:szCs w:val="24"/>
          <w:lang w:val="fr-BE"/>
        </w:rPr>
        <w:t>cu</w:t>
      </w:r>
      <w:proofErr w:type="spellEnd"/>
      <w:r w:rsidRPr="00475BC4">
        <w:rPr>
          <w:rFonts w:ascii="Times New Roman" w:hAnsi="Times New Roman" w:cs="Times New Roman"/>
          <w:bCs/>
          <w:sz w:val="24"/>
          <w:szCs w:val="24"/>
          <w:lang w:val="fr-BE"/>
        </w:rPr>
        <w:t xml:space="preserve"> art. 270 </w:t>
      </w:r>
      <w:proofErr w:type="spellStart"/>
      <w:r w:rsidRPr="00475BC4">
        <w:rPr>
          <w:rFonts w:ascii="Times New Roman" w:hAnsi="Times New Roman" w:cs="Times New Roman"/>
          <w:bCs/>
          <w:sz w:val="24"/>
          <w:szCs w:val="24"/>
          <w:lang w:val="fr-BE"/>
        </w:rPr>
        <w:t>alin</w:t>
      </w:r>
      <w:proofErr w:type="spellEnd"/>
      <w:r w:rsidRPr="00475BC4">
        <w:rPr>
          <w:rFonts w:ascii="Times New Roman" w:hAnsi="Times New Roman" w:cs="Times New Roman"/>
          <w:bCs/>
          <w:sz w:val="24"/>
          <w:szCs w:val="24"/>
          <w:lang w:val="fr-BE"/>
        </w:rPr>
        <w:t xml:space="preserve">. (10) se </w:t>
      </w:r>
      <w:proofErr w:type="spellStart"/>
      <w:r w:rsidRPr="00475BC4">
        <w:rPr>
          <w:rFonts w:ascii="Times New Roman" w:hAnsi="Times New Roman" w:cs="Times New Roman"/>
          <w:bCs/>
          <w:sz w:val="24"/>
          <w:szCs w:val="24"/>
          <w:lang w:val="fr-BE"/>
        </w:rPr>
        <w:t>consideră</w:t>
      </w:r>
      <w:proofErr w:type="spellEnd"/>
      <w:r w:rsidRPr="00475BC4">
        <w:rPr>
          <w:rFonts w:ascii="Times New Roman" w:hAnsi="Times New Roman" w:cs="Times New Roman"/>
          <w:bCs/>
          <w:sz w:val="24"/>
          <w:szCs w:val="24"/>
          <w:lang w:val="fr-BE"/>
        </w:rPr>
        <w:t xml:space="preserve"> a </w:t>
      </w:r>
      <w:proofErr w:type="spellStart"/>
      <w:r w:rsidRPr="00475BC4">
        <w:rPr>
          <w:rFonts w:ascii="Times New Roman" w:hAnsi="Times New Roman" w:cs="Times New Roman"/>
          <w:bCs/>
          <w:sz w:val="24"/>
          <w:szCs w:val="24"/>
          <w:lang w:val="fr-BE"/>
        </w:rPr>
        <w:t>avea</w:t>
      </w:r>
      <w:proofErr w:type="spellEnd"/>
      <w:r w:rsidRPr="00475BC4">
        <w:rPr>
          <w:rFonts w:ascii="Times New Roman" w:hAnsi="Times New Roman" w:cs="Times New Roman"/>
          <w:bCs/>
          <w:sz w:val="24"/>
          <w:szCs w:val="24"/>
          <w:lang w:val="fr-BE"/>
        </w:rPr>
        <w:t xml:space="preserve"> </w:t>
      </w:r>
      <w:proofErr w:type="spellStart"/>
      <w:r w:rsidRPr="00475BC4">
        <w:rPr>
          <w:rFonts w:ascii="Times New Roman" w:hAnsi="Times New Roman" w:cs="Times New Roman"/>
          <w:bCs/>
          <w:sz w:val="24"/>
          <w:szCs w:val="24"/>
          <w:lang w:val="fr-BE"/>
        </w:rPr>
        <w:t>loc</w:t>
      </w:r>
      <w:proofErr w:type="spellEnd"/>
      <w:r w:rsidRPr="00475BC4">
        <w:rPr>
          <w:rFonts w:ascii="Times New Roman" w:hAnsi="Times New Roman" w:cs="Times New Roman"/>
          <w:bCs/>
          <w:sz w:val="24"/>
          <w:szCs w:val="24"/>
          <w:lang w:val="fr-BE"/>
        </w:rPr>
        <w:t xml:space="preserve"> un </w:t>
      </w:r>
      <w:proofErr w:type="spellStart"/>
      <w:r w:rsidRPr="00475BC4">
        <w:rPr>
          <w:rFonts w:ascii="Times New Roman" w:hAnsi="Times New Roman" w:cs="Times New Roman"/>
          <w:bCs/>
          <w:sz w:val="24"/>
          <w:szCs w:val="24"/>
          <w:lang w:val="fr-BE"/>
        </w:rPr>
        <w:t>transfer</w:t>
      </w:r>
      <w:proofErr w:type="spellEnd"/>
      <w:r w:rsidRPr="00475BC4">
        <w:rPr>
          <w:rFonts w:ascii="Times New Roman" w:hAnsi="Times New Roman" w:cs="Times New Roman"/>
          <w:bCs/>
          <w:sz w:val="24"/>
          <w:szCs w:val="24"/>
          <w:lang w:val="fr-BE"/>
        </w:rPr>
        <w:t xml:space="preserve"> de </w:t>
      </w:r>
      <w:proofErr w:type="spellStart"/>
      <w:r w:rsidRPr="00475BC4">
        <w:rPr>
          <w:rFonts w:ascii="Times New Roman" w:hAnsi="Times New Roman" w:cs="Times New Roman"/>
          <w:bCs/>
          <w:sz w:val="24"/>
          <w:szCs w:val="24"/>
          <w:lang w:val="fr-BE"/>
        </w:rPr>
        <w:t>bunuri</w:t>
      </w:r>
      <w:proofErr w:type="spellEnd"/>
      <w:r w:rsidRPr="00475BC4">
        <w:rPr>
          <w:rFonts w:ascii="Times New Roman" w:hAnsi="Times New Roman" w:cs="Times New Roman"/>
          <w:bCs/>
          <w:sz w:val="24"/>
          <w:szCs w:val="24"/>
          <w:lang w:val="fr-BE"/>
        </w:rPr>
        <w:t xml:space="preserve"> </w:t>
      </w:r>
      <w:proofErr w:type="spellStart"/>
      <w:r w:rsidRPr="00475BC4">
        <w:rPr>
          <w:rFonts w:ascii="Times New Roman" w:hAnsi="Times New Roman" w:cs="Times New Roman"/>
          <w:bCs/>
          <w:sz w:val="24"/>
          <w:szCs w:val="24"/>
          <w:lang w:val="fr-BE"/>
        </w:rPr>
        <w:t>în</w:t>
      </w:r>
      <w:proofErr w:type="spellEnd"/>
      <w:r w:rsidRPr="00475BC4">
        <w:rPr>
          <w:rFonts w:ascii="Times New Roman" w:hAnsi="Times New Roman" w:cs="Times New Roman"/>
          <w:bCs/>
          <w:sz w:val="24"/>
          <w:szCs w:val="24"/>
          <w:lang w:val="fr-BE"/>
        </w:rPr>
        <w:t xml:space="preserve"> </w:t>
      </w:r>
      <w:proofErr w:type="spellStart"/>
      <w:r w:rsidRPr="00475BC4">
        <w:rPr>
          <w:rFonts w:ascii="Times New Roman" w:hAnsi="Times New Roman" w:cs="Times New Roman"/>
          <w:bCs/>
          <w:sz w:val="24"/>
          <w:szCs w:val="24"/>
          <w:lang w:val="fr-BE"/>
        </w:rPr>
        <w:t>momentul</w:t>
      </w:r>
      <w:proofErr w:type="spellEnd"/>
      <w:r w:rsidRPr="00475BC4">
        <w:rPr>
          <w:rFonts w:ascii="Times New Roman" w:hAnsi="Times New Roman" w:cs="Times New Roman"/>
          <w:bCs/>
          <w:sz w:val="24"/>
          <w:szCs w:val="24"/>
          <w:lang w:val="fr-BE"/>
        </w:rPr>
        <w:t xml:space="preserve"> </w:t>
      </w:r>
      <w:proofErr w:type="spellStart"/>
      <w:r w:rsidRPr="00475BC4">
        <w:rPr>
          <w:rFonts w:ascii="Times New Roman" w:hAnsi="Times New Roman" w:cs="Times New Roman"/>
          <w:bCs/>
          <w:sz w:val="24"/>
          <w:szCs w:val="24"/>
          <w:lang w:val="fr-BE"/>
        </w:rPr>
        <w:t>în</w:t>
      </w:r>
      <w:proofErr w:type="spellEnd"/>
      <w:r w:rsidRPr="00475BC4">
        <w:rPr>
          <w:rFonts w:ascii="Times New Roman" w:hAnsi="Times New Roman" w:cs="Times New Roman"/>
          <w:bCs/>
          <w:sz w:val="24"/>
          <w:szCs w:val="24"/>
          <w:lang w:val="fr-BE"/>
        </w:rPr>
        <w:t xml:space="preserve"> care </w:t>
      </w:r>
      <w:proofErr w:type="spellStart"/>
      <w:r w:rsidRPr="00475BC4">
        <w:rPr>
          <w:rFonts w:ascii="Times New Roman" w:hAnsi="Times New Roman" w:cs="Times New Roman"/>
          <w:bCs/>
          <w:sz w:val="24"/>
          <w:szCs w:val="24"/>
          <w:lang w:val="fr-BE"/>
        </w:rPr>
        <w:t>condiția</w:t>
      </w:r>
      <w:proofErr w:type="spellEnd"/>
      <w:r w:rsidRPr="00475BC4">
        <w:rPr>
          <w:rFonts w:ascii="Times New Roman" w:hAnsi="Times New Roman" w:cs="Times New Roman"/>
          <w:bCs/>
          <w:sz w:val="24"/>
          <w:szCs w:val="24"/>
          <w:lang w:val="fr-BE"/>
        </w:rPr>
        <w:t xml:space="preserve"> </w:t>
      </w:r>
      <w:proofErr w:type="spellStart"/>
      <w:r w:rsidRPr="00475BC4">
        <w:rPr>
          <w:rFonts w:ascii="Times New Roman" w:hAnsi="Times New Roman" w:cs="Times New Roman"/>
          <w:bCs/>
          <w:sz w:val="24"/>
          <w:szCs w:val="24"/>
          <w:lang w:val="fr-BE"/>
        </w:rPr>
        <w:t>respectivă</w:t>
      </w:r>
      <w:proofErr w:type="spellEnd"/>
      <w:r w:rsidRPr="00475BC4">
        <w:rPr>
          <w:rFonts w:ascii="Times New Roman" w:hAnsi="Times New Roman" w:cs="Times New Roman"/>
          <w:bCs/>
          <w:sz w:val="24"/>
          <w:szCs w:val="24"/>
          <w:lang w:val="fr-BE"/>
        </w:rPr>
        <w:t xml:space="preserve"> nu mai este </w:t>
      </w:r>
      <w:proofErr w:type="spellStart"/>
      <w:r w:rsidRPr="00475BC4">
        <w:rPr>
          <w:rFonts w:ascii="Times New Roman" w:hAnsi="Times New Roman" w:cs="Times New Roman"/>
          <w:bCs/>
          <w:sz w:val="24"/>
          <w:szCs w:val="24"/>
          <w:lang w:val="fr-BE"/>
        </w:rPr>
        <w:t>îndeplinită</w:t>
      </w:r>
      <w:proofErr w:type="spellEnd"/>
      <w:r w:rsidRPr="00475BC4">
        <w:rPr>
          <w:rFonts w:ascii="Times New Roman" w:hAnsi="Times New Roman" w:cs="Times New Roman"/>
          <w:bCs/>
          <w:sz w:val="24"/>
          <w:szCs w:val="24"/>
          <w:lang w:val="fr-BE"/>
        </w:rPr>
        <w:t>.</w:t>
      </w:r>
    </w:p>
    <w:p w:rsidR="004B406D" w:rsidRPr="00FD557C" w:rsidRDefault="004B406D" w:rsidP="009D52EA">
      <w:pPr>
        <w:spacing w:after="0" w:line="276" w:lineRule="auto"/>
        <w:ind w:firstLine="708"/>
        <w:jc w:val="both"/>
      </w:pPr>
      <w:r w:rsidRPr="00475BC4">
        <w:rPr>
          <w:rFonts w:ascii="Times New Roman" w:hAnsi="Times New Roman" w:cs="Times New Roman"/>
          <w:bCs/>
          <w:sz w:val="24"/>
          <w:szCs w:val="24"/>
        </w:rPr>
        <w:t>(8) În cazul în care bunurile sunt livrate unei alte persoane decât persoana impozabilă menționată la alin. (2) lit. c) sau la alin. (6), condițiile stabilite la alin. (2) și (6) se consideră că încetează să mai fie îndeplinite imediat înainte de o astfel de livrare.</w:t>
      </w:r>
    </w:p>
    <w:p w:rsidR="004B406D" w:rsidRPr="00FD557C" w:rsidRDefault="004B406D" w:rsidP="009D52EA">
      <w:pPr>
        <w:spacing w:after="0" w:line="276" w:lineRule="auto"/>
        <w:ind w:firstLine="708"/>
        <w:jc w:val="both"/>
      </w:pPr>
      <w:r w:rsidRPr="00475BC4">
        <w:rPr>
          <w:rFonts w:ascii="Times New Roman" w:hAnsi="Times New Roman" w:cs="Times New Roman"/>
          <w:bCs/>
          <w:sz w:val="24"/>
          <w:szCs w:val="24"/>
        </w:rPr>
        <w:t>(9) Where goods are dispatched or transported to another country than the Member State of which were transferred to initial conditions set out in par. (2) and (6) it is considered that ceases to be satisfied immediately before the start of such shipments of such transport or in another country.</w:t>
      </w:r>
    </w:p>
    <w:p w:rsidR="004B406D" w:rsidRPr="00FD557C" w:rsidRDefault="004B406D" w:rsidP="009D52EA">
      <w:pPr>
        <w:spacing w:after="0" w:line="276" w:lineRule="auto"/>
        <w:ind w:firstLine="360"/>
        <w:jc w:val="both"/>
      </w:pPr>
      <w:r w:rsidRPr="00573AE5">
        <w:rPr>
          <w:rFonts w:ascii="Times New Roman" w:hAnsi="Times New Roman" w:cs="Times New Roman"/>
          <w:bCs/>
          <w:sz w:val="24"/>
          <w:szCs w:val="24"/>
          <w:lang w:val="en-GB"/>
        </w:rPr>
        <w:t xml:space="preserve">(10) In the case of destruction, loss or theft of goods, the conditions set out in par. (2) and (6) shall be deemed to cease to be met at the time when the goods have actually been lost, stolen or destroyed or if it is impossible to determine that date, the date it was found missing or destruction of </w:t>
      </w:r>
      <w:proofErr w:type="gramStart"/>
      <w:r w:rsidRPr="00573AE5">
        <w:rPr>
          <w:rFonts w:ascii="Times New Roman" w:hAnsi="Times New Roman" w:cs="Times New Roman"/>
          <w:bCs/>
          <w:sz w:val="24"/>
          <w:szCs w:val="24"/>
          <w:lang w:val="en-GB"/>
        </w:rPr>
        <w:t>property .</w:t>
      </w:r>
      <w:proofErr w:type="gramEnd"/>
      <w:r w:rsidRPr="00FD557C">
        <w:rPr>
          <w:rFonts w:ascii="Times New Roman" w:hAnsi="Times New Roman" w:cs="Times New Roman"/>
          <w:sz w:val="24"/>
          <w:szCs w:val="24"/>
        </w:rPr>
        <w:t xml:space="preserve"> "</w:t>
      </w:r>
    </w:p>
    <w:p w:rsidR="004B406D" w:rsidRPr="00573AE5" w:rsidRDefault="004B406D" w:rsidP="009D52EA">
      <w:pPr>
        <w:spacing w:after="0" w:line="276" w:lineRule="auto"/>
        <w:jc w:val="both"/>
        <w:rPr>
          <w:rFonts w:ascii="Times New Roman" w:hAnsi="Times New Roman" w:cs="Times New Roman"/>
          <w:b/>
          <w:bCs/>
          <w:sz w:val="24"/>
          <w:szCs w:val="24"/>
          <w:lang w:val="en-GB"/>
        </w:rPr>
      </w:pPr>
    </w:p>
    <w:p w:rsidR="004B406D" w:rsidRPr="00FD557C" w:rsidRDefault="00D46AA6" w:rsidP="009D52EA">
      <w:pPr>
        <w:spacing w:after="0" w:line="276" w:lineRule="auto"/>
        <w:jc w:val="both"/>
        <w:rPr>
          <w:rFonts w:ascii="Times New Roman" w:hAnsi="Times New Roman" w:cs="Times New Roman"/>
          <w:b/>
          <w:bCs/>
          <w:sz w:val="24"/>
          <w:szCs w:val="24"/>
        </w:rPr>
      </w:pPr>
      <w:r w:rsidRPr="00FD557C">
        <w:rPr>
          <w:rFonts w:ascii="Times New Roman" w:hAnsi="Times New Roman" w:cs="Times New Roman"/>
          <w:b/>
          <w:bCs/>
          <w:sz w:val="24"/>
          <w:szCs w:val="24"/>
        </w:rPr>
        <w:t>9. In Article 275, after paragraph (8) the following three new paragraphs, para. (9) - (11), as follows:</w:t>
      </w:r>
    </w:p>
    <w:p w:rsidR="00EB54E1" w:rsidRPr="00FD557C" w:rsidRDefault="00EB54E1" w:rsidP="009D52EA">
      <w:pPr>
        <w:spacing w:after="0" w:line="276" w:lineRule="auto"/>
        <w:ind w:firstLine="708"/>
        <w:jc w:val="both"/>
      </w:pPr>
    </w:p>
    <w:p w:rsidR="004B406D" w:rsidRPr="00FD557C" w:rsidRDefault="004B406D" w:rsidP="009D52EA">
      <w:pPr>
        <w:spacing w:after="0" w:line="276" w:lineRule="auto"/>
        <w:jc w:val="both"/>
      </w:pPr>
      <w:r w:rsidRPr="00FD557C">
        <w:rPr>
          <w:rFonts w:ascii="Times New Roman" w:eastAsia="Times New Roman" w:hAnsi="Times New Roman" w:cs="Times New Roman"/>
          <w:sz w:val="24"/>
          <w:szCs w:val="24"/>
        </w:rPr>
        <w:t xml:space="preserve"> </w:t>
      </w:r>
      <w:r w:rsidRPr="00FD557C">
        <w:rPr>
          <w:rFonts w:ascii="Times New Roman" w:hAnsi="Times New Roman" w:cs="Times New Roman"/>
          <w:sz w:val="24"/>
          <w:szCs w:val="24"/>
        </w:rPr>
        <w:tab/>
        <w:t>"</w:t>
      </w:r>
      <w:r w:rsidRPr="00475BC4">
        <w:rPr>
          <w:rFonts w:ascii="Times New Roman" w:hAnsi="Times New Roman" w:cs="Times New Roman"/>
          <w:sz w:val="24"/>
          <w:szCs w:val="24"/>
        </w:rPr>
        <w:t>(9) Where the same goods are delivered sequentially and are dispatched or transported from one Member State to another Member State directly from the first supplier to the last customer in the chain dispatch or transport is assigned to only supply made by the operator between.</w:t>
      </w:r>
    </w:p>
    <w:p w:rsidR="004B406D" w:rsidRPr="00FD557C" w:rsidRDefault="004B406D" w:rsidP="009D52EA">
      <w:pPr>
        <w:spacing w:after="0" w:line="276" w:lineRule="auto"/>
        <w:ind w:firstLine="708"/>
        <w:jc w:val="both"/>
      </w:pPr>
      <w:r w:rsidRPr="00573AE5">
        <w:rPr>
          <w:rFonts w:ascii="Times New Roman" w:hAnsi="Times New Roman" w:cs="Times New Roman"/>
          <w:sz w:val="24"/>
          <w:szCs w:val="24"/>
          <w:lang w:val="en-GB"/>
        </w:rPr>
        <w:t>(10) Notwithstanding the provisions of paragraph. (9) the dispatch or transport is awarded only to the supply of goods made by the operator intermediary if the operator intermediate announced its supplier code of its registration for VAT purposes which was issued by the Member State of dispatch or transported the goods.</w:t>
      </w:r>
    </w:p>
    <w:p w:rsidR="004B406D" w:rsidRPr="00FD557C" w:rsidRDefault="004B406D" w:rsidP="009D52EA">
      <w:pPr>
        <w:spacing w:after="0" w:line="276" w:lineRule="auto"/>
        <w:ind w:firstLine="708"/>
        <w:jc w:val="both"/>
      </w:pPr>
      <w:r w:rsidRPr="00475BC4">
        <w:rPr>
          <w:rFonts w:ascii="Times New Roman" w:hAnsi="Times New Roman" w:cs="Times New Roman"/>
          <w:sz w:val="24"/>
          <w:szCs w:val="24"/>
        </w:rPr>
        <w:t>(11) For the purposes of this Article, "intermediate operator" means a provider of chain other than the first supplier in the chain, consigning or transporting goods, either by himself or through a third party acting on his behalf.</w:t>
      </w:r>
      <w:r w:rsidRPr="00FD557C">
        <w:rPr>
          <w:rFonts w:ascii="Times New Roman" w:hAnsi="Times New Roman" w:cs="Times New Roman"/>
          <w:sz w:val="24"/>
          <w:szCs w:val="24"/>
        </w:rPr>
        <w:t>"</w:t>
      </w:r>
    </w:p>
    <w:p w:rsidR="004B406D" w:rsidRPr="00FD557C" w:rsidRDefault="004B406D" w:rsidP="009D52EA">
      <w:pPr>
        <w:spacing w:after="0" w:line="276" w:lineRule="auto"/>
        <w:jc w:val="both"/>
        <w:rPr>
          <w:rFonts w:ascii="Times New Roman" w:hAnsi="Times New Roman" w:cs="Times New Roman"/>
          <w:sz w:val="24"/>
          <w:szCs w:val="24"/>
        </w:rPr>
      </w:pPr>
    </w:p>
    <w:p w:rsidR="004B406D" w:rsidRPr="00FD557C" w:rsidRDefault="00D46AA6" w:rsidP="009D52EA">
      <w:pPr>
        <w:spacing w:after="0" w:line="276" w:lineRule="auto"/>
        <w:jc w:val="both"/>
        <w:rPr>
          <w:rFonts w:ascii="Times New Roman" w:hAnsi="Times New Roman" w:cs="Times New Roman"/>
          <w:b/>
          <w:bCs/>
          <w:sz w:val="24"/>
          <w:szCs w:val="24"/>
        </w:rPr>
      </w:pPr>
      <w:r w:rsidRPr="00FD557C">
        <w:rPr>
          <w:rFonts w:ascii="Times New Roman" w:hAnsi="Times New Roman" w:cs="Times New Roman"/>
          <w:b/>
          <w:sz w:val="24"/>
          <w:szCs w:val="24"/>
        </w:rPr>
        <w:t>10. In Article 294, after paragraph (2) insert a new paragraph, para. (21), as follows:</w:t>
      </w:r>
    </w:p>
    <w:p w:rsidR="00EB54E1" w:rsidRPr="00FD557C" w:rsidRDefault="00EB54E1" w:rsidP="009D52EA">
      <w:pPr>
        <w:spacing w:after="0" w:line="276" w:lineRule="auto"/>
        <w:jc w:val="both"/>
      </w:pPr>
    </w:p>
    <w:p w:rsidR="00EB54E1" w:rsidRPr="00FD557C" w:rsidRDefault="004B406D" w:rsidP="009D52EA">
      <w:pPr>
        <w:spacing w:after="0" w:line="276" w:lineRule="auto"/>
        <w:jc w:val="both"/>
      </w:pPr>
      <w:r w:rsidRPr="00FD557C">
        <w:rPr>
          <w:rFonts w:ascii="Times New Roman" w:hAnsi="Times New Roman" w:cs="Times New Roman"/>
          <w:sz w:val="24"/>
          <w:szCs w:val="24"/>
        </w:rPr>
        <w:tab/>
        <w:t>"(2</w:t>
      </w:r>
      <w:r w:rsidRPr="00FD557C">
        <w:rPr>
          <w:rFonts w:ascii="Times New Roman" w:hAnsi="Times New Roman" w:cs="Times New Roman"/>
          <w:sz w:val="24"/>
          <w:szCs w:val="24"/>
          <w:vertAlign w:val="superscript"/>
        </w:rPr>
        <w:t>1</w:t>
      </w:r>
      <w:r w:rsidRPr="00FD557C">
        <w:rPr>
          <w:rFonts w:ascii="Times New Roman" w:hAnsi="Times New Roman" w:cs="Times New Roman"/>
          <w:sz w:val="24"/>
          <w:szCs w:val="24"/>
        </w:rPr>
        <w:t>) The exemption provided by paragraph. (2) a) does not apply where the supplier has not complied with the requirement in art. 325 par. (1) to submit a summary declaration or summary declaration submitted by it does not contain the correct information on this delivery as required under art. 325 par. (3), unless the supplier can duly justify deficiency in the satisfaction of the competent tax authorities.</w:t>
      </w:r>
    </w:p>
    <w:p w:rsidR="004B406D" w:rsidRPr="00FD557C" w:rsidRDefault="004B406D" w:rsidP="009D52EA">
      <w:pPr>
        <w:spacing w:after="0" w:line="276" w:lineRule="auto"/>
        <w:jc w:val="both"/>
        <w:rPr>
          <w:rFonts w:ascii="Times New Roman" w:hAnsi="Times New Roman" w:cs="Times New Roman"/>
          <w:sz w:val="24"/>
          <w:szCs w:val="24"/>
        </w:rPr>
      </w:pPr>
    </w:p>
    <w:p w:rsidR="004B406D" w:rsidRPr="00FD557C" w:rsidRDefault="00CC1D42" w:rsidP="009D52EA">
      <w:pPr>
        <w:spacing w:after="0" w:line="276" w:lineRule="auto"/>
        <w:jc w:val="both"/>
        <w:rPr>
          <w:rFonts w:ascii="Times New Roman" w:hAnsi="Times New Roman" w:cs="Times New Roman"/>
          <w:b/>
          <w:bCs/>
          <w:sz w:val="24"/>
          <w:szCs w:val="24"/>
        </w:rPr>
      </w:pPr>
      <w:r w:rsidRPr="00FD557C">
        <w:rPr>
          <w:rFonts w:ascii="Times New Roman" w:hAnsi="Times New Roman" w:cs="Times New Roman"/>
          <w:b/>
          <w:sz w:val="24"/>
          <w:szCs w:val="24"/>
        </w:rPr>
        <w:t>11. In Article 321, after paragraph (5) the following two new paragraphs, para. (6) and (7), as follows:</w:t>
      </w:r>
    </w:p>
    <w:p w:rsidR="00EB54E1" w:rsidRPr="00FD557C" w:rsidRDefault="00EB54E1" w:rsidP="009D52EA">
      <w:pPr>
        <w:spacing w:after="0" w:line="276" w:lineRule="auto"/>
        <w:jc w:val="both"/>
      </w:pPr>
    </w:p>
    <w:p w:rsidR="00E94455" w:rsidRPr="00FD557C" w:rsidRDefault="004B406D" w:rsidP="009D52EA">
      <w:pPr>
        <w:spacing w:after="0" w:line="276" w:lineRule="auto"/>
        <w:jc w:val="both"/>
      </w:pPr>
      <w:r w:rsidRPr="00FD557C">
        <w:rPr>
          <w:rFonts w:ascii="Times New Roman" w:hAnsi="Times New Roman" w:cs="Times New Roman"/>
          <w:sz w:val="24"/>
          <w:szCs w:val="24"/>
        </w:rPr>
        <w:tab/>
        <w:t>"</w:t>
      </w:r>
      <w:r w:rsidRPr="00475BC4">
        <w:rPr>
          <w:rFonts w:ascii="Times New Roman" w:hAnsi="Times New Roman" w:cs="Times New Roman"/>
          <w:sz w:val="24"/>
          <w:szCs w:val="24"/>
        </w:rPr>
        <w:t>(6) Every taxable person transfers goods in stock to the customer regime provided for in art. 2701 keep records enable the tax authorities to verify the correct application of Article. This</w:t>
      </w:r>
      <w:r w:rsidRPr="00FD557C">
        <w:rPr>
          <w:rFonts w:ascii="Times New Roman" w:hAnsi="Times New Roman" w:cs="Times New Roman"/>
          <w:sz w:val="24"/>
          <w:szCs w:val="24"/>
        </w:rPr>
        <w:t>register contains information according to Article 54a para. (1) Implementing Regulation (EU) No. 282/2011, as amended and supplemented.</w:t>
      </w:r>
    </w:p>
    <w:p w:rsidR="004B406D" w:rsidRPr="00FD557C" w:rsidRDefault="004B406D" w:rsidP="009D52EA">
      <w:pPr>
        <w:spacing w:after="0" w:line="276" w:lineRule="auto"/>
        <w:ind w:firstLine="708"/>
        <w:jc w:val="both"/>
      </w:pPr>
      <w:r w:rsidRPr="00475BC4">
        <w:rPr>
          <w:rFonts w:ascii="Times New Roman" w:hAnsi="Times New Roman" w:cs="Times New Roman"/>
          <w:sz w:val="24"/>
          <w:szCs w:val="24"/>
        </w:rPr>
        <w:t>(7) Every taxable person to whom the goods are supplied under the scheme stock to the customer provided art. 2701 keeps a register of goods. This</w:t>
      </w:r>
      <w:r w:rsidRPr="00FD557C">
        <w:rPr>
          <w:rFonts w:ascii="Times New Roman" w:hAnsi="Times New Roman" w:cs="Times New Roman"/>
          <w:sz w:val="24"/>
          <w:szCs w:val="24"/>
        </w:rPr>
        <w:t>register containing the information specified in Article 54a (2) of the implementing Regulation (EU) No. 282/2011, as amended and supplemented. "</w:t>
      </w:r>
    </w:p>
    <w:p w:rsidR="004B406D" w:rsidRPr="00FD557C" w:rsidRDefault="004B406D" w:rsidP="009D52EA">
      <w:pPr>
        <w:spacing w:after="0" w:line="276" w:lineRule="auto"/>
        <w:jc w:val="both"/>
        <w:rPr>
          <w:rFonts w:ascii="Times New Roman" w:hAnsi="Times New Roman" w:cs="Times New Roman"/>
          <w:sz w:val="24"/>
          <w:szCs w:val="24"/>
        </w:rPr>
      </w:pPr>
    </w:p>
    <w:p w:rsidR="004B406D" w:rsidRPr="00FD557C" w:rsidRDefault="00CC1D42" w:rsidP="009D52EA">
      <w:pPr>
        <w:spacing w:after="0" w:line="276" w:lineRule="auto"/>
        <w:jc w:val="both"/>
        <w:rPr>
          <w:rFonts w:ascii="Times New Roman" w:hAnsi="Times New Roman" w:cs="Times New Roman"/>
          <w:b/>
          <w:bCs/>
          <w:sz w:val="24"/>
          <w:szCs w:val="24"/>
        </w:rPr>
      </w:pPr>
      <w:r w:rsidRPr="00FD557C">
        <w:rPr>
          <w:rFonts w:ascii="Times New Roman" w:hAnsi="Times New Roman" w:cs="Times New Roman"/>
          <w:b/>
          <w:bCs/>
          <w:sz w:val="24"/>
          <w:szCs w:val="24"/>
        </w:rPr>
        <w:t>12. In Article 325, after paragraph (1) insert a new paragraph, para. (11), as follows:</w:t>
      </w:r>
    </w:p>
    <w:p w:rsidR="00EB54E1" w:rsidRPr="00FD557C" w:rsidRDefault="00EB54E1" w:rsidP="009D52EA">
      <w:pPr>
        <w:spacing w:after="0" w:line="276" w:lineRule="auto"/>
        <w:ind w:firstLine="708"/>
        <w:jc w:val="both"/>
      </w:pPr>
    </w:p>
    <w:p w:rsidR="004B406D" w:rsidRDefault="004B406D" w:rsidP="009D52EA">
      <w:pPr>
        <w:spacing w:after="0" w:line="276" w:lineRule="auto"/>
        <w:jc w:val="both"/>
        <w:rPr>
          <w:rFonts w:ascii="Times New Roman" w:hAnsi="Times New Roman" w:cs="Times New Roman"/>
          <w:sz w:val="24"/>
          <w:szCs w:val="24"/>
        </w:rPr>
      </w:pPr>
      <w:r w:rsidRPr="00FD557C">
        <w:rPr>
          <w:rFonts w:ascii="Times New Roman" w:hAnsi="Times New Roman" w:cs="Times New Roman"/>
          <w:sz w:val="24"/>
          <w:szCs w:val="24"/>
        </w:rPr>
        <w:tab/>
        <w:t>"(1</w:t>
      </w:r>
      <w:r w:rsidRPr="00FD557C">
        <w:rPr>
          <w:rFonts w:ascii="Times New Roman" w:hAnsi="Times New Roman" w:cs="Times New Roman"/>
          <w:sz w:val="24"/>
          <w:szCs w:val="24"/>
          <w:vertAlign w:val="superscript"/>
        </w:rPr>
        <w:t>1</w:t>
      </w:r>
      <w:r w:rsidRPr="00FD557C">
        <w:rPr>
          <w:rFonts w:ascii="Times New Roman" w:hAnsi="Times New Roman" w:cs="Times New Roman"/>
          <w:sz w:val="24"/>
          <w:szCs w:val="24"/>
        </w:rPr>
        <w:t>) Every taxable person entered on the declaration summary information on the identity and registration code for VAT purposes of taxable persons whom they are intended goods dispatched or transported within the regime of stocks available to the customer under the conditions laid down in art. 2701 and of any changes to the information provided. "</w:t>
      </w:r>
    </w:p>
    <w:p w:rsidR="00E110D5" w:rsidRDefault="00E110D5" w:rsidP="00E110D5">
      <w:pPr>
        <w:spacing w:after="0" w:line="276" w:lineRule="auto"/>
        <w:jc w:val="both"/>
        <w:rPr>
          <w:rFonts w:ascii="Times New Roman" w:hAnsi="Times New Roman" w:cs="Times New Roman"/>
          <w:b/>
          <w:bCs/>
          <w:sz w:val="24"/>
          <w:szCs w:val="24"/>
        </w:rPr>
      </w:pPr>
    </w:p>
    <w:p w:rsidR="00E110D5" w:rsidRPr="00475BC4" w:rsidRDefault="00B96F15" w:rsidP="00B96F15">
      <w:pPr>
        <w:spacing w:after="0" w:line="276" w:lineRule="auto"/>
        <w:jc w:val="both"/>
        <w:rPr>
          <w:rFonts w:ascii="Times New Roman" w:hAnsi="Times New Roman" w:cs="Times New Roman"/>
          <w:b/>
          <w:bCs/>
          <w:sz w:val="24"/>
          <w:szCs w:val="24"/>
          <w:lang w:val="en-GB"/>
        </w:rPr>
      </w:pPr>
      <w:r>
        <w:rPr>
          <w:rFonts w:ascii="Times New Roman" w:hAnsi="Times New Roman" w:cs="Times New Roman"/>
          <w:b/>
          <w:bCs/>
          <w:sz w:val="24"/>
          <w:szCs w:val="24"/>
        </w:rPr>
        <w:t>13. In Article 325 (2) is amended to read as follows:</w:t>
      </w:r>
    </w:p>
    <w:p w:rsidR="00E110D5" w:rsidRPr="0044241B" w:rsidRDefault="00E110D5" w:rsidP="0044241B">
      <w:pPr>
        <w:suppressAutoHyphens w:val="0"/>
        <w:autoSpaceDE w:val="0"/>
        <w:autoSpaceDN w:val="0"/>
        <w:adjustRightInd w:val="0"/>
        <w:spacing w:after="0" w:line="240" w:lineRule="auto"/>
        <w:ind w:firstLine="708"/>
        <w:jc w:val="both"/>
        <w:rPr>
          <w:rFonts w:ascii="Times New Roman" w:eastAsia="Times New Roman" w:hAnsi="Times New Roman" w:cs="Times New Roman"/>
          <w:kern w:val="0"/>
          <w:sz w:val="24"/>
          <w:szCs w:val="24"/>
        </w:rPr>
      </w:pPr>
      <w:r w:rsidRPr="00E110D5">
        <w:rPr>
          <w:rFonts w:ascii="Times New Roman" w:hAnsi="Times New Roman" w:cs="Times New Roman"/>
          <w:sz w:val="24"/>
          <w:szCs w:val="24"/>
        </w:rPr>
        <w:t>"</w:t>
      </w:r>
      <w:r w:rsidRPr="00475BC4">
        <w:rPr>
          <w:rFonts w:ascii="Times New Roman" w:eastAsia="Times New Roman" w:hAnsi="Times New Roman" w:cs="Times New Roman"/>
          <w:kern w:val="0"/>
          <w:sz w:val="24"/>
          <w:szCs w:val="24"/>
          <w:lang w:val="en-GB"/>
        </w:rPr>
        <w:t>(2) The summary declaration shall be made using the model established by order of the President of ANAF, for each calendar month in which the tax becomes chargeable operations referred to in para. (1), and for each month</w:t>
      </w:r>
      <w:r>
        <w:rPr>
          <w:rFonts w:ascii="Times New Roman" w:eastAsia="Times New Roman" w:hAnsi="Times New Roman" w:cs="Times New Roman"/>
          <w:kern w:val="0"/>
          <w:sz w:val="24"/>
          <w:szCs w:val="24"/>
        </w:rPr>
        <w:t>single calendar dispatched or transported goods under the regime of stocks available to the customer. "</w:t>
      </w:r>
    </w:p>
    <w:p w:rsidR="00E110D5" w:rsidRPr="0044241B" w:rsidRDefault="00E110D5" w:rsidP="0044241B">
      <w:pPr>
        <w:spacing w:after="0" w:line="276" w:lineRule="auto"/>
        <w:ind w:firstLine="708"/>
        <w:jc w:val="both"/>
        <w:rPr>
          <w:rFonts w:ascii="Times New Roman" w:hAnsi="Times New Roman" w:cs="Times New Roman"/>
          <w:b/>
          <w:bCs/>
          <w:sz w:val="24"/>
          <w:szCs w:val="24"/>
        </w:rPr>
      </w:pPr>
    </w:p>
    <w:p w:rsidR="00E110D5" w:rsidRPr="00FD557C" w:rsidRDefault="00E110D5" w:rsidP="009D52EA">
      <w:pPr>
        <w:spacing w:after="0" w:line="276" w:lineRule="auto"/>
        <w:jc w:val="both"/>
      </w:pPr>
    </w:p>
    <w:p w:rsidR="004B406D" w:rsidRPr="00FD557C" w:rsidRDefault="004B406D" w:rsidP="009D52EA">
      <w:pPr>
        <w:spacing w:after="0" w:line="276" w:lineRule="auto"/>
        <w:ind w:firstLine="567"/>
        <w:jc w:val="both"/>
      </w:pPr>
    </w:p>
    <w:p w:rsidR="004B406D" w:rsidRPr="00FD557C" w:rsidRDefault="00CC1D42" w:rsidP="009D52EA">
      <w:pPr>
        <w:spacing w:after="0" w:line="276" w:lineRule="auto"/>
        <w:jc w:val="both"/>
      </w:pPr>
      <w:r w:rsidRPr="00FD557C">
        <w:rPr>
          <w:rFonts w:ascii="Times New Roman" w:hAnsi="Times New Roman" w:cs="Times New Roman"/>
          <w:b/>
          <w:bCs/>
          <w:sz w:val="24"/>
          <w:szCs w:val="24"/>
        </w:rPr>
        <w:t>14. Article 337 (2), points f) and g) is repealed.</w:t>
      </w:r>
    </w:p>
    <w:p w:rsidR="004B406D" w:rsidRPr="00FD557C" w:rsidRDefault="004B406D" w:rsidP="009D52EA">
      <w:pPr>
        <w:spacing w:after="0" w:line="276" w:lineRule="auto"/>
        <w:ind w:firstLine="567"/>
        <w:jc w:val="both"/>
        <w:rPr>
          <w:rFonts w:ascii="Times New Roman" w:hAnsi="Times New Roman" w:cs="Times New Roman"/>
          <w:b/>
          <w:bCs/>
          <w:sz w:val="24"/>
          <w:szCs w:val="24"/>
        </w:rPr>
      </w:pPr>
    </w:p>
    <w:p w:rsidR="004B406D" w:rsidRPr="00FD557C" w:rsidRDefault="004B406D" w:rsidP="009D52EA">
      <w:pPr>
        <w:spacing w:after="0" w:line="276" w:lineRule="auto"/>
        <w:ind w:firstLine="567"/>
        <w:jc w:val="both"/>
      </w:pPr>
      <w:r w:rsidRPr="00FD557C">
        <w:rPr>
          <w:rFonts w:ascii="Times New Roman" w:hAnsi="Times New Roman" w:cs="Times New Roman"/>
          <w:b/>
          <w:sz w:val="24"/>
          <w:szCs w:val="24"/>
        </w:rPr>
        <w:t>Art. II.</w:t>
      </w:r>
      <w:r w:rsidRPr="00FD557C">
        <w:rPr>
          <w:rFonts w:ascii="Times New Roman" w:hAnsi="Times New Roman" w:cs="Times New Roman"/>
          <w:sz w:val="24"/>
          <w:szCs w:val="24"/>
        </w:rPr>
        <w:t xml:space="preserve"> - This law comes into force on January 1, 2020.</w:t>
      </w:r>
    </w:p>
    <w:p w:rsidR="004B406D" w:rsidRPr="00FD557C" w:rsidRDefault="004B406D" w:rsidP="009D52EA">
      <w:pPr>
        <w:spacing w:after="0" w:line="276" w:lineRule="auto"/>
        <w:ind w:firstLine="567"/>
        <w:jc w:val="both"/>
        <w:rPr>
          <w:rFonts w:ascii="Times New Roman" w:hAnsi="Times New Roman" w:cs="Times New Roman"/>
          <w:sz w:val="24"/>
          <w:szCs w:val="24"/>
        </w:rPr>
      </w:pPr>
    </w:p>
    <w:p w:rsidR="00D57835" w:rsidRPr="00D8211D" w:rsidRDefault="004B406D" w:rsidP="00D57835">
      <w:pPr>
        <w:spacing w:after="0" w:line="276" w:lineRule="auto"/>
        <w:jc w:val="both"/>
        <w:rPr>
          <w:rFonts w:ascii="Times New Roman" w:hAnsi="Times New Roman" w:cs="Times New Roman"/>
          <w:iCs/>
          <w:sz w:val="24"/>
          <w:szCs w:val="24"/>
        </w:rPr>
      </w:pPr>
      <w:r w:rsidRPr="00FD557C">
        <w:rPr>
          <w:rFonts w:ascii="Times New Roman" w:hAnsi="Times New Roman" w:cs="Times New Roman"/>
          <w:sz w:val="24"/>
          <w:szCs w:val="24"/>
        </w:rPr>
        <w:t>This law transposes Directive 2016/1164 / EU of 12 July 2016 laying down the rules against practices to avoid tax obligations which directly affect the functioning of the internal market, Directive 2017/952 / EU of 29 May 2017 amending Directive (EU) 2016/1164 as regards the uneven treatment of hybrid elements involving third countries Directive (EU) 2018/1910 of the Council of December 4, 2018 amending Directive 2006/112 / EC regarding the harmonization and simplification certain rules of the VAT system for the taxation of trade between Member States and the Directive (EU) 2019/475 of the Council of 18 February 2019 amending Directive 2006/112 / EC and 2008/118 / EC as regards the inclusion of the commune Italian Campione d 'Italy and the Italian waters of Lake Lugano in the customs union and the territorial scope of Directive 2008/118 / EC.</w:t>
      </w:r>
    </w:p>
    <w:p w:rsidR="004B406D" w:rsidRPr="00FD557C" w:rsidRDefault="004B406D" w:rsidP="009D52EA">
      <w:pPr>
        <w:spacing w:after="0" w:line="276" w:lineRule="auto"/>
        <w:jc w:val="both"/>
      </w:pPr>
    </w:p>
    <w:p w:rsidR="004B406D" w:rsidRPr="00FD557C" w:rsidRDefault="004B406D" w:rsidP="009D52EA">
      <w:pPr>
        <w:spacing w:after="0" w:line="276" w:lineRule="auto"/>
        <w:jc w:val="both"/>
      </w:pPr>
      <w:r w:rsidRPr="00FD557C">
        <w:rPr>
          <w:rFonts w:ascii="Times New Roman" w:eastAsia="Times New Roman" w:hAnsi="Times New Roman" w:cs="Times New Roman"/>
          <w:sz w:val="24"/>
          <w:szCs w:val="24"/>
        </w:rPr>
        <w:t xml:space="preserve"> </w:t>
      </w:r>
      <w:r w:rsidRPr="00FD557C">
        <w:rPr>
          <w:rFonts w:ascii="Times New Roman" w:hAnsi="Times New Roman" w:cs="Times New Roman"/>
          <w:sz w:val="24"/>
          <w:szCs w:val="24"/>
        </w:rPr>
        <w:tab/>
        <w:t>This law was adopted by the Romanian Parliament in compliance with art. 75 and Art. 76 para. (2) of the Romanian Constitution.</w:t>
      </w:r>
    </w:p>
    <w:p w:rsidR="004B406D" w:rsidRPr="00FD557C" w:rsidRDefault="004B406D" w:rsidP="009D52EA">
      <w:pPr>
        <w:spacing w:after="0" w:line="276" w:lineRule="auto"/>
        <w:jc w:val="both"/>
        <w:rPr>
          <w:rFonts w:ascii="Times New Roman" w:hAnsi="Times New Roman" w:cs="Times New Roman"/>
          <w:sz w:val="24"/>
          <w:szCs w:val="24"/>
        </w:rPr>
      </w:pPr>
    </w:p>
    <w:p w:rsidR="00242327" w:rsidRPr="00FD557C" w:rsidRDefault="00242327" w:rsidP="009D52EA">
      <w:pPr>
        <w:spacing w:after="0" w:line="276" w:lineRule="auto"/>
        <w:jc w:val="both"/>
        <w:rPr>
          <w:rFonts w:ascii="Times New Roman" w:hAnsi="Times New Roman" w:cs="Times New Roman"/>
          <w:sz w:val="24"/>
          <w:szCs w:val="24"/>
        </w:rPr>
      </w:pPr>
    </w:p>
    <w:p w:rsidR="00242327" w:rsidRDefault="00242327" w:rsidP="009D52EA">
      <w:pPr>
        <w:spacing w:after="0" w:line="276" w:lineRule="auto"/>
        <w:jc w:val="both"/>
        <w:rPr>
          <w:rFonts w:ascii="Times New Roman" w:hAnsi="Times New Roman" w:cs="Times New Roman"/>
          <w:sz w:val="24"/>
          <w:szCs w:val="24"/>
        </w:rPr>
      </w:pPr>
    </w:p>
    <w:p w:rsidR="00D8211D" w:rsidRPr="00A87249" w:rsidRDefault="00D8211D" w:rsidP="00D8211D">
      <w:pPr>
        <w:widowControl w:val="0"/>
        <w:shd w:val="clear" w:color="auto" w:fill="FFFFFF"/>
        <w:spacing w:after="0" w:line="240" w:lineRule="auto"/>
        <w:jc w:val="center"/>
        <w:rPr>
          <w:rFonts w:ascii="Times New Roman" w:eastAsia="Andale Sans UI" w:hAnsi="Times New Roman" w:cs="Times New Roman"/>
          <w:kern w:val="2"/>
          <w:sz w:val="24"/>
          <w:szCs w:val="24"/>
          <w:lang w:eastAsia="zh-CN"/>
        </w:rPr>
      </w:pPr>
      <w:r w:rsidRPr="00A87249">
        <w:rPr>
          <w:rFonts w:ascii="Times New Roman" w:eastAsia="SimSun" w:hAnsi="Times New Roman" w:cs="Times New Roman"/>
          <w:b/>
          <w:kern w:val="2"/>
          <w:sz w:val="24"/>
          <w:szCs w:val="24"/>
          <w:lang w:eastAsia="zh-CN" w:bidi="hi-IN"/>
        </w:rPr>
        <w:t>PRIME MINISTER</w:t>
      </w:r>
    </w:p>
    <w:p w:rsidR="00D8211D" w:rsidRPr="00A87249" w:rsidRDefault="00D8211D" w:rsidP="00D8211D">
      <w:pPr>
        <w:widowControl w:val="0"/>
        <w:shd w:val="clear" w:color="auto" w:fill="FFFFFF"/>
        <w:spacing w:after="0" w:line="240" w:lineRule="auto"/>
        <w:jc w:val="center"/>
        <w:rPr>
          <w:rFonts w:ascii="Times New Roman" w:eastAsia="SimSun" w:hAnsi="Times New Roman" w:cs="Times New Roman"/>
          <w:b/>
          <w:kern w:val="2"/>
          <w:sz w:val="24"/>
          <w:szCs w:val="24"/>
          <w:lang w:eastAsia="zh-CN" w:bidi="hi-IN"/>
        </w:rPr>
      </w:pPr>
    </w:p>
    <w:p w:rsidR="00D8211D" w:rsidRPr="00A87249" w:rsidRDefault="002537DF" w:rsidP="00D8211D">
      <w:pPr>
        <w:widowControl w:val="0"/>
        <w:spacing w:after="0" w:line="240" w:lineRule="auto"/>
        <w:jc w:val="center"/>
        <w:rPr>
          <w:rFonts w:ascii="Times New Roman" w:eastAsia="Andale Sans UI" w:hAnsi="Times New Roman" w:cs="Times New Roman"/>
          <w:kern w:val="2"/>
          <w:sz w:val="24"/>
          <w:szCs w:val="24"/>
          <w:lang w:eastAsia="zh-CN"/>
        </w:rPr>
      </w:pPr>
      <w:r>
        <w:rPr>
          <w:rFonts w:ascii="Times New Roman" w:eastAsia="SimSun" w:hAnsi="Times New Roman" w:cs="Times New Roman"/>
          <w:b/>
          <w:kern w:val="2"/>
          <w:sz w:val="24"/>
          <w:szCs w:val="24"/>
          <w:lang w:eastAsia="zh-CN" w:bidi="hi-IN"/>
        </w:rPr>
        <w:t>Orban</w:t>
      </w:r>
    </w:p>
    <w:p w:rsidR="00D8211D" w:rsidRPr="00A87249" w:rsidRDefault="00D8211D" w:rsidP="00D8211D">
      <w:pPr>
        <w:widowControl w:val="0"/>
        <w:spacing w:after="0" w:line="240" w:lineRule="auto"/>
        <w:ind w:firstLine="720"/>
        <w:jc w:val="both"/>
        <w:rPr>
          <w:rFonts w:ascii="Times New Roman" w:eastAsia="Andale Sans UI" w:hAnsi="Times New Roman" w:cs="Times New Roman"/>
          <w:kern w:val="2"/>
          <w:sz w:val="24"/>
          <w:szCs w:val="24"/>
          <w:lang w:eastAsia="zh-CN"/>
        </w:rPr>
      </w:pPr>
    </w:p>
    <w:p w:rsidR="005E17BB" w:rsidRDefault="005E17BB" w:rsidP="009D52EA">
      <w:pPr>
        <w:spacing w:after="0" w:line="360" w:lineRule="auto"/>
        <w:jc w:val="both"/>
        <w:rPr>
          <w:rFonts w:ascii="Times New Roman" w:hAnsi="Times New Roman" w:cs="Times New Roman"/>
          <w:sz w:val="24"/>
          <w:szCs w:val="24"/>
        </w:rPr>
      </w:pPr>
    </w:p>
    <w:p w:rsidR="005E17BB" w:rsidRDefault="005E17BB" w:rsidP="009D52EA">
      <w:pPr>
        <w:spacing w:after="0" w:line="360" w:lineRule="auto"/>
        <w:jc w:val="both"/>
        <w:rPr>
          <w:rFonts w:ascii="Times New Roman" w:hAnsi="Times New Roman" w:cs="Times New Roman"/>
          <w:sz w:val="24"/>
          <w:szCs w:val="24"/>
        </w:rPr>
      </w:pPr>
    </w:p>
    <w:p w:rsidR="005E17BB" w:rsidRDefault="005E17BB" w:rsidP="009D52EA">
      <w:pPr>
        <w:spacing w:after="0" w:line="360" w:lineRule="auto"/>
        <w:jc w:val="both"/>
        <w:rPr>
          <w:rFonts w:ascii="Times New Roman" w:hAnsi="Times New Roman" w:cs="Times New Roman"/>
          <w:sz w:val="24"/>
          <w:szCs w:val="24"/>
        </w:rPr>
      </w:pPr>
    </w:p>
    <w:p w:rsidR="005E17BB" w:rsidRDefault="005E17BB" w:rsidP="009D52EA">
      <w:pPr>
        <w:spacing w:after="0" w:line="360" w:lineRule="auto"/>
        <w:jc w:val="both"/>
        <w:rPr>
          <w:rFonts w:ascii="Times New Roman" w:hAnsi="Times New Roman" w:cs="Times New Roman"/>
          <w:sz w:val="24"/>
          <w:szCs w:val="24"/>
        </w:rPr>
      </w:pPr>
    </w:p>
    <w:p w:rsidR="005E17BB" w:rsidRDefault="005E17BB" w:rsidP="009D52EA">
      <w:pPr>
        <w:spacing w:after="0" w:line="360" w:lineRule="auto"/>
        <w:jc w:val="both"/>
        <w:rPr>
          <w:rFonts w:ascii="Times New Roman" w:hAnsi="Times New Roman" w:cs="Times New Roman"/>
          <w:sz w:val="24"/>
          <w:szCs w:val="24"/>
        </w:rPr>
      </w:pPr>
    </w:p>
    <w:p w:rsidR="005E17BB" w:rsidRDefault="005E17BB" w:rsidP="009D52EA">
      <w:pPr>
        <w:spacing w:after="0" w:line="360" w:lineRule="auto"/>
        <w:jc w:val="both"/>
        <w:rPr>
          <w:rFonts w:ascii="Times New Roman" w:hAnsi="Times New Roman" w:cs="Times New Roman"/>
          <w:sz w:val="24"/>
          <w:szCs w:val="24"/>
        </w:rPr>
      </w:pPr>
    </w:p>
    <w:p w:rsidR="005E17BB" w:rsidRDefault="005E17BB" w:rsidP="009D52EA">
      <w:pPr>
        <w:spacing w:after="0" w:line="360" w:lineRule="auto"/>
        <w:jc w:val="both"/>
        <w:rPr>
          <w:rFonts w:ascii="Times New Roman" w:hAnsi="Times New Roman" w:cs="Times New Roman"/>
          <w:sz w:val="24"/>
          <w:szCs w:val="24"/>
        </w:rPr>
      </w:pPr>
    </w:p>
    <w:p w:rsidR="005E17BB" w:rsidRDefault="005E17BB" w:rsidP="009D52EA">
      <w:pPr>
        <w:spacing w:after="0" w:line="360" w:lineRule="auto"/>
        <w:jc w:val="both"/>
        <w:rPr>
          <w:rFonts w:ascii="Times New Roman" w:hAnsi="Times New Roman" w:cs="Times New Roman"/>
          <w:sz w:val="24"/>
          <w:szCs w:val="24"/>
        </w:rPr>
      </w:pPr>
    </w:p>
    <w:p w:rsidR="004B406D" w:rsidRDefault="004B406D" w:rsidP="009D52EA">
      <w:pPr>
        <w:spacing w:after="0" w:line="240" w:lineRule="auto"/>
        <w:jc w:val="both"/>
      </w:pPr>
    </w:p>
    <w:sectPr w:rsidR="004B406D">
      <w:headerReference w:type="even" r:id="rId9"/>
      <w:headerReference w:type="default" r:id="rId10"/>
      <w:footerReference w:type="even" r:id="rId11"/>
      <w:footerReference w:type="default" r:id="rId12"/>
      <w:headerReference w:type="first" r:id="rId13"/>
      <w:footerReference w:type="first" r:id="rId14"/>
      <w:pgSz w:w="11906" w:h="16838"/>
      <w:pgMar w:top="1134" w:right="851" w:bottom="766" w:left="1418" w:header="708" w:footer="709" w:gutter="0"/>
      <w:cols w:space="708"/>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60EED" w:rsidRDefault="00260EED">
      <w:pPr>
        <w:spacing w:after="0" w:line="240" w:lineRule="auto"/>
      </w:pPr>
      <w:r>
        <w:separator/>
      </w:r>
    </w:p>
  </w:endnote>
  <w:endnote w:type="continuationSeparator" w:id="0">
    <w:p w:rsidR="00260EED" w:rsidRDefault="00260E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font490">
    <w:altName w:val="Times New Roman"/>
    <w:charset w:val="EE"/>
    <w:family w:val="auto"/>
    <w:pitch w:val="variable"/>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EUAlbertina">
    <w:altName w:val="EU Albertina"/>
    <w:charset w:val="00"/>
    <w:family w:val="swiss"/>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Andale Sans UI">
    <w:altName w:val="Times New Roman"/>
    <w:charset w:val="EE"/>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09D3" w:rsidRDefault="00E209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406D" w:rsidRDefault="004B406D">
    <w:pPr>
      <w:pStyle w:val="Footer"/>
      <w:jc w:val="center"/>
    </w:pPr>
    <w:r>
      <w:fldChar w:fldCharType="begin"/>
    </w:r>
    <w:r>
      <w:instrText xml:space="preserve"> PAGE </w:instrText>
    </w:r>
    <w:r>
      <w:fldChar w:fldCharType="separate"/>
    </w:r>
    <w:r w:rsidR="00EC6C49">
      <w:rPr>
        <w:noProof/>
      </w:rPr>
      <w:t>11</w:t>
    </w:r>
    <w:r>
      <w:fldChar w:fldCharType="end"/>
    </w:r>
  </w:p>
  <w:p w:rsidR="004B406D" w:rsidRDefault="004B406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406D" w:rsidRDefault="004B406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60EED" w:rsidRDefault="00260EED">
      <w:pPr>
        <w:spacing w:after="0" w:line="240" w:lineRule="auto"/>
      </w:pPr>
      <w:r>
        <w:separator/>
      </w:r>
    </w:p>
  </w:footnote>
  <w:footnote w:type="continuationSeparator" w:id="0">
    <w:p w:rsidR="00260EED" w:rsidRDefault="00260E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09D3" w:rsidRDefault="00E209D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09D3" w:rsidRDefault="00E209D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09D3" w:rsidRDefault="00E209D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multilevel"/>
    <w:tmpl w:val="00000002"/>
    <w:name w:val="WW8Num2"/>
    <w:lvl w:ilvl="0">
      <w:start w:val="1"/>
      <w:numFmt w:val="decimal"/>
      <w:lvlText w:val="%1."/>
      <w:lvlJc w:val="left"/>
      <w:pPr>
        <w:tabs>
          <w:tab w:val="num" w:pos="0"/>
        </w:tabs>
        <w:ind w:left="106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abstractNum w:abstractNumId="2" w15:restartNumberingAfterBreak="0">
    <w:nsid w:val="1AEE64DF"/>
    <w:multiLevelType w:val="multilevel"/>
    <w:tmpl w:val="E7D8E474"/>
    <w:lvl w:ilvl="0">
      <w:start w:val="2"/>
      <w:numFmt w:val="decimal"/>
      <w:lvlText w:val="%1."/>
      <w:lvlJc w:val="left"/>
      <w:pPr>
        <w:ind w:left="360" w:hanging="360"/>
      </w:pPr>
      <w:rPr>
        <w:rFonts w:hint="default"/>
        <w:b/>
        <w:i w:val="0"/>
        <w:color w:val="auto"/>
        <w:sz w:val="24"/>
        <w:szCs w:val="24"/>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 w15:restartNumberingAfterBreak="0">
    <w:nsid w:val="1D323C3F"/>
    <w:multiLevelType w:val="multilevel"/>
    <w:tmpl w:val="E7D8E474"/>
    <w:lvl w:ilvl="0">
      <w:start w:val="2"/>
      <w:numFmt w:val="decimal"/>
      <w:lvlText w:val="%1."/>
      <w:lvlJc w:val="left"/>
      <w:pPr>
        <w:ind w:left="360" w:hanging="360"/>
      </w:pPr>
      <w:rPr>
        <w:rFonts w:hint="default"/>
        <w:b/>
        <w:i w:val="0"/>
        <w:color w:val="auto"/>
        <w:sz w:val="24"/>
        <w:szCs w:val="24"/>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 w15:restartNumberingAfterBreak="0">
    <w:nsid w:val="204F2737"/>
    <w:multiLevelType w:val="hybridMultilevel"/>
    <w:tmpl w:val="A962BAEA"/>
    <w:lvl w:ilvl="0" w:tplc="51A6CAC8">
      <w:start w:val="1"/>
      <w:numFmt w:val="decimal"/>
      <w:lvlText w:val="%1."/>
      <w:lvlJc w:val="left"/>
      <w:pPr>
        <w:ind w:left="862" w:hanging="360"/>
      </w:pPr>
      <w:rPr>
        <w:b/>
      </w:rPr>
    </w:lvl>
    <w:lvl w:ilvl="1" w:tplc="04180019" w:tentative="1">
      <w:start w:val="1"/>
      <w:numFmt w:val="lowerLetter"/>
      <w:lvlText w:val="%2."/>
      <w:lvlJc w:val="left"/>
      <w:pPr>
        <w:ind w:left="1582" w:hanging="360"/>
      </w:pPr>
    </w:lvl>
    <w:lvl w:ilvl="2" w:tplc="0418001B" w:tentative="1">
      <w:start w:val="1"/>
      <w:numFmt w:val="lowerRoman"/>
      <w:lvlText w:val="%3."/>
      <w:lvlJc w:val="right"/>
      <w:pPr>
        <w:ind w:left="2302" w:hanging="180"/>
      </w:pPr>
    </w:lvl>
    <w:lvl w:ilvl="3" w:tplc="0418000F" w:tentative="1">
      <w:start w:val="1"/>
      <w:numFmt w:val="decimal"/>
      <w:lvlText w:val="%4."/>
      <w:lvlJc w:val="left"/>
      <w:pPr>
        <w:ind w:left="3022" w:hanging="360"/>
      </w:pPr>
    </w:lvl>
    <w:lvl w:ilvl="4" w:tplc="04180019" w:tentative="1">
      <w:start w:val="1"/>
      <w:numFmt w:val="lowerLetter"/>
      <w:lvlText w:val="%5."/>
      <w:lvlJc w:val="left"/>
      <w:pPr>
        <w:ind w:left="3742" w:hanging="360"/>
      </w:pPr>
    </w:lvl>
    <w:lvl w:ilvl="5" w:tplc="0418001B" w:tentative="1">
      <w:start w:val="1"/>
      <w:numFmt w:val="lowerRoman"/>
      <w:lvlText w:val="%6."/>
      <w:lvlJc w:val="right"/>
      <w:pPr>
        <w:ind w:left="4462" w:hanging="180"/>
      </w:pPr>
    </w:lvl>
    <w:lvl w:ilvl="6" w:tplc="0418000F" w:tentative="1">
      <w:start w:val="1"/>
      <w:numFmt w:val="decimal"/>
      <w:lvlText w:val="%7."/>
      <w:lvlJc w:val="left"/>
      <w:pPr>
        <w:ind w:left="5182" w:hanging="360"/>
      </w:pPr>
    </w:lvl>
    <w:lvl w:ilvl="7" w:tplc="04180019" w:tentative="1">
      <w:start w:val="1"/>
      <w:numFmt w:val="lowerLetter"/>
      <w:lvlText w:val="%8."/>
      <w:lvlJc w:val="left"/>
      <w:pPr>
        <w:ind w:left="5902" w:hanging="360"/>
      </w:pPr>
    </w:lvl>
    <w:lvl w:ilvl="8" w:tplc="0418001B" w:tentative="1">
      <w:start w:val="1"/>
      <w:numFmt w:val="lowerRoman"/>
      <w:lvlText w:val="%9."/>
      <w:lvlJc w:val="right"/>
      <w:pPr>
        <w:ind w:left="6622" w:hanging="180"/>
      </w:pPr>
    </w:lvl>
  </w:abstractNum>
  <w:abstractNum w:abstractNumId="5" w15:restartNumberingAfterBreak="0">
    <w:nsid w:val="3BDB0FD4"/>
    <w:multiLevelType w:val="multilevel"/>
    <w:tmpl w:val="E7D8E474"/>
    <w:lvl w:ilvl="0">
      <w:start w:val="2"/>
      <w:numFmt w:val="decimal"/>
      <w:lvlText w:val="%1."/>
      <w:lvlJc w:val="left"/>
      <w:pPr>
        <w:ind w:left="360" w:hanging="360"/>
      </w:pPr>
      <w:rPr>
        <w:rFonts w:hint="default"/>
        <w:b/>
        <w:i w:val="0"/>
        <w:color w:val="auto"/>
        <w:sz w:val="24"/>
        <w:szCs w:val="24"/>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6" w15:restartNumberingAfterBreak="0">
    <w:nsid w:val="5A7B7D17"/>
    <w:multiLevelType w:val="multilevel"/>
    <w:tmpl w:val="E7D8E474"/>
    <w:lvl w:ilvl="0">
      <w:start w:val="2"/>
      <w:numFmt w:val="decimal"/>
      <w:lvlText w:val="%1."/>
      <w:lvlJc w:val="left"/>
      <w:pPr>
        <w:ind w:left="360" w:hanging="360"/>
      </w:pPr>
      <w:rPr>
        <w:rFonts w:hint="default"/>
        <w:b/>
        <w:i w:val="0"/>
        <w:color w:val="auto"/>
        <w:sz w:val="24"/>
        <w:szCs w:val="24"/>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7" w15:restartNumberingAfterBreak="0">
    <w:nsid w:val="70C50CF0"/>
    <w:multiLevelType w:val="hybridMultilevel"/>
    <w:tmpl w:val="BF6ADA5C"/>
    <w:lvl w:ilvl="0" w:tplc="7A98AEDC">
      <w:start w:val="1"/>
      <w:numFmt w:val="decimal"/>
      <w:lvlText w:val="%1."/>
      <w:lvlJc w:val="left"/>
      <w:pPr>
        <w:ind w:left="1068" w:hanging="360"/>
      </w:pPr>
      <w:rPr>
        <w:rFonts w:ascii="Times New Roman" w:hAnsi="Times New Roman" w:cs="Times New Roman" w:hint="default"/>
        <w:b/>
      </w:rPr>
    </w:lvl>
    <w:lvl w:ilvl="1" w:tplc="04180019" w:tentative="1">
      <w:start w:val="1"/>
      <w:numFmt w:val="lowerLetter"/>
      <w:lvlText w:val="%2."/>
      <w:lvlJc w:val="left"/>
      <w:pPr>
        <w:ind w:left="1788" w:hanging="360"/>
      </w:pPr>
    </w:lvl>
    <w:lvl w:ilvl="2" w:tplc="0418001B" w:tentative="1">
      <w:start w:val="1"/>
      <w:numFmt w:val="lowerRoman"/>
      <w:lvlText w:val="%3."/>
      <w:lvlJc w:val="right"/>
      <w:pPr>
        <w:ind w:left="2508" w:hanging="180"/>
      </w:pPr>
    </w:lvl>
    <w:lvl w:ilvl="3" w:tplc="0418000F" w:tentative="1">
      <w:start w:val="1"/>
      <w:numFmt w:val="decimal"/>
      <w:lvlText w:val="%4."/>
      <w:lvlJc w:val="left"/>
      <w:pPr>
        <w:ind w:left="3228" w:hanging="360"/>
      </w:pPr>
    </w:lvl>
    <w:lvl w:ilvl="4" w:tplc="04180019" w:tentative="1">
      <w:start w:val="1"/>
      <w:numFmt w:val="lowerLetter"/>
      <w:lvlText w:val="%5."/>
      <w:lvlJc w:val="left"/>
      <w:pPr>
        <w:ind w:left="3948" w:hanging="360"/>
      </w:pPr>
    </w:lvl>
    <w:lvl w:ilvl="5" w:tplc="0418001B" w:tentative="1">
      <w:start w:val="1"/>
      <w:numFmt w:val="lowerRoman"/>
      <w:lvlText w:val="%6."/>
      <w:lvlJc w:val="right"/>
      <w:pPr>
        <w:ind w:left="4668" w:hanging="180"/>
      </w:pPr>
    </w:lvl>
    <w:lvl w:ilvl="6" w:tplc="0418000F" w:tentative="1">
      <w:start w:val="1"/>
      <w:numFmt w:val="decimal"/>
      <w:lvlText w:val="%7."/>
      <w:lvlJc w:val="left"/>
      <w:pPr>
        <w:ind w:left="5388" w:hanging="360"/>
      </w:pPr>
    </w:lvl>
    <w:lvl w:ilvl="7" w:tplc="04180019" w:tentative="1">
      <w:start w:val="1"/>
      <w:numFmt w:val="lowerLetter"/>
      <w:lvlText w:val="%8."/>
      <w:lvlJc w:val="left"/>
      <w:pPr>
        <w:ind w:left="6108" w:hanging="360"/>
      </w:pPr>
    </w:lvl>
    <w:lvl w:ilvl="8" w:tplc="0418001B" w:tentative="1">
      <w:start w:val="1"/>
      <w:numFmt w:val="lowerRoman"/>
      <w:lvlText w:val="%9."/>
      <w:lvlJc w:val="right"/>
      <w:pPr>
        <w:ind w:left="6828" w:hanging="180"/>
      </w:pPr>
    </w:lvl>
  </w:abstractNum>
  <w:num w:numId="1">
    <w:abstractNumId w:val="0"/>
  </w:num>
  <w:num w:numId="2">
    <w:abstractNumId w:val="1"/>
  </w:num>
  <w:num w:numId="3">
    <w:abstractNumId w:val="7"/>
  </w:num>
  <w:num w:numId="4">
    <w:abstractNumId w:val="5"/>
  </w:num>
  <w:num w:numId="5">
    <w:abstractNumId w:val="4"/>
  </w:num>
  <w:num w:numId="6">
    <w:abstractNumId w:val="3"/>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08"/>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422E6"/>
    <w:rsid w:val="00011DF7"/>
    <w:rsid w:val="00026434"/>
    <w:rsid w:val="00035D46"/>
    <w:rsid w:val="00041FDD"/>
    <w:rsid w:val="000422C1"/>
    <w:rsid w:val="00047A4D"/>
    <w:rsid w:val="00052121"/>
    <w:rsid w:val="00067AEC"/>
    <w:rsid w:val="00080346"/>
    <w:rsid w:val="0009352D"/>
    <w:rsid w:val="000B05C6"/>
    <w:rsid w:val="000B554D"/>
    <w:rsid w:val="000B7172"/>
    <w:rsid w:val="000C4855"/>
    <w:rsid w:val="000C6B18"/>
    <w:rsid w:val="00121C0B"/>
    <w:rsid w:val="00122583"/>
    <w:rsid w:val="00144500"/>
    <w:rsid w:val="001759AA"/>
    <w:rsid w:val="001A3948"/>
    <w:rsid w:val="001A3ACA"/>
    <w:rsid w:val="001B5634"/>
    <w:rsid w:val="001C2160"/>
    <w:rsid w:val="001E3368"/>
    <w:rsid w:val="001F2C89"/>
    <w:rsid w:val="0020767F"/>
    <w:rsid w:val="0022066A"/>
    <w:rsid w:val="00230CC9"/>
    <w:rsid w:val="00232FAE"/>
    <w:rsid w:val="00242327"/>
    <w:rsid w:val="002537DF"/>
    <w:rsid w:val="00254EDD"/>
    <w:rsid w:val="00260EED"/>
    <w:rsid w:val="002616DD"/>
    <w:rsid w:val="0026337A"/>
    <w:rsid w:val="002770C6"/>
    <w:rsid w:val="002828B3"/>
    <w:rsid w:val="002C1F8B"/>
    <w:rsid w:val="002C5FEA"/>
    <w:rsid w:val="002D08DE"/>
    <w:rsid w:val="002D21B2"/>
    <w:rsid w:val="002E4379"/>
    <w:rsid w:val="002E5BDE"/>
    <w:rsid w:val="002E7789"/>
    <w:rsid w:val="002F3D1F"/>
    <w:rsid w:val="00302701"/>
    <w:rsid w:val="00326179"/>
    <w:rsid w:val="00333D3C"/>
    <w:rsid w:val="003777B3"/>
    <w:rsid w:val="00382026"/>
    <w:rsid w:val="00382E33"/>
    <w:rsid w:val="003B5D86"/>
    <w:rsid w:val="003B7A05"/>
    <w:rsid w:val="003B7BFF"/>
    <w:rsid w:val="003E3362"/>
    <w:rsid w:val="003E6D39"/>
    <w:rsid w:val="00400D4B"/>
    <w:rsid w:val="0041153B"/>
    <w:rsid w:val="00412F26"/>
    <w:rsid w:val="0044241B"/>
    <w:rsid w:val="00452295"/>
    <w:rsid w:val="00465AC6"/>
    <w:rsid w:val="00466874"/>
    <w:rsid w:val="0047098A"/>
    <w:rsid w:val="00475BC4"/>
    <w:rsid w:val="00484DD3"/>
    <w:rsid w:val="004A1B25"/>
    <w:rsid w:val="004A77A2"/>
    <w:rsid w:val="004B210D"/>
    <w:rsid w:val="004B406D"/>
    <w:rsid w:val="004B70B2"/>
    <w:rsid w:val="004D789E"/>
    <w:rsid w:val="004E0902"/>
    <w:rsid w:val="004F3A6F"/>
    <w:rsid w:val="004F6CE4"/>
    <w:rsid w:val="004F7683"/>
    <w:rsid w:val="00501F5D"/>
    <w:rsid w:val="0051273A"/>
    <w:rsid w:val="005164F2"/>
    <w:rsid w:val="005213A8"/>
    <w:rsid w:val="00532B1B"/>
    <w:rsid w:val="005449E9"/>
    <w:rsid w:val="005477AC"/>
    <w:rsid w:val="00555F8E"/>
    <w:rsid w:val="00560FDA"/>
    <w:rsid w:val="00563075"/>
    <w:rsid w:val="005666D7"/>
    <w:rsid w:val="00573AE5"/>
    <w:rsid w:val="005A237A"/>
    <w:rsid w:val="005E17BB"/>
    <w:rsid w:val="005E6343"/>
    <w:rsid w:val="005F5081"/>
    <w:rsid w:val="0060032F"/>
    <w:rsid w:val="00602A2D"/>
    <w:rsid w:val="006037F6"/>
    <w:rsid w:val="00613705"/>
    <w:rsid w:val="00633E5A"/>
    <w:rsid w:val="00640A4E"/>
    <w:rsid w:val="006662A3"/>
    <w:rsid w:val="006711AD"/>
    <w:rsid w:val="0067133B"/>
    <w:rsid w:val="00672BD7"/>
    <w:rsid w:val="0067380C"/>
    <w:rsid w:val="006749BD"/>
    <w:rsid w:val="00685630"/>
    <w:rsid w:val="006977DD"/>
    <w:rsid w:val="00697F3B"/>
    <w:rsid w:val="006C748B"/>
    <w:rsid w:val="006D625B"/>
    <w:rsid w:val="006D707B"/>
    <w:rsid w:val="006F17F9"/>
    <w:rsid w:val="007026B5"/>
    <w:rsid w:val="00702AE9"/>
    <w:rsid w:val="00706647"/>
    <w:rsid w:val="0071491E"/>
    <w:rsid w:val="007253BD"/>
    <w:rsid w:val="0075417F"/>
    <w:rsid w:val="00761AA9"/>
    <w:rsid w:val="00766319"/>
    <w:rsid w:val="00766F0B"/>
    <w:rsid w:val="00767102"/>
    <w:rsid w:val="00776613"/>
    <w:rsid w:val="0079245E"/>
    <w:rsid w:val="007C3663"/>
    <w:rsid w:val="007D71DE"/>
    <w:rsid w:val="007D7CF1"/>
    <w:rsid w:val="007E7A1A"/>
    <w:rsid w:val="008020F1"/>
    <w:rsid w:val="00810DC8"/>
    <w:rsid w:val="00851323"/>
    <w:rsid w:val="008664D5"/>
    <w:rsid w:val="00882DBC"/>
    <w:rsid w:val="00892865"/>
    <w:rsid w:val="008A30A5"/>
    <w:rsid w:val="008C3392"/>
    <w:rsid w:val="008D3EC2"/>
    <w:rsid w:val="008F6829"/>
    <w:rsid w:val="00903BAF"/>
    <w:rsid w:val="00916574"/>
    <w:rsid w:val="00926133"/>
    <w:rsid w:val="00926236"/>
    <w:rsid w:val="0092710B"/>
    <w:rsid w:val="0093339F"/>
    <w:rsid w:val="00945C41"/>
    <w:rsid w:val="009470BF"/>
    <w:rsid w:val="0096500E"/>
    <w:rsid w:val="00977FE5"/>
    <w:rsid w:val="009827FF"/>
    <w:rsid w:val="009A40E4"/>
    <w:rsid w:val="009C4DD4"/>
    <w:rsid w:val="009C7578"/>
    <w:rsid w:val="009D03DC"/>
    <w:rsid w:val="009D52EA"/>
    <w:rsid w:val="009E0106"/>
    <w:rsid w:val="009F1286"/>
    <w:rsid w:val="009F1F84"/>
    <w:rsid w:val="00A02D8E"/>
    <w:rsid w:val="00A12B55"/>
    <w:rsid w:val="00A22BCC"/>
    <w:rsid w:val="00A34AC1"/>
    <w:rsid w:val="00A435AE"/>
    <w:rsid w:val="00A52B9D"/>
    <w:rsid w:val="00A570A0"/>
    <w:rsid w:val="00A5775C"/>
    <w:rsid w:val="00A6293B"/>
    <w:rsid w:val="00A634B8"/>
    <w:rsid w:val="00A6719D"/>
    <w:rsid w:val="00A7557A"/>
    <w:rsid w:val="00A81413"/>
    <w:rsid w:val="00A82A57"/>
    <w:rsid w:val="00A909B1"/>
    <w:rsid w:val="00A9204B"/>
    <w:rsid w:val="00AB71F3"/>
    <w:rsid w:val="00AC4DFE"/>
    <w:rsid w:val="00AD149B"/>
    <w:rsid w:val="00AF65EB"/>
    <w:rsid w:val="00B07C55"/>
    <w:rsid w:val="00B12C15"/>
    <w:rsid w:val="00B24E59"/>
    <w:rsid w:val="00B24E79"/>
    <w:rsid w:val="00B3590E"/>
    <w:rsid w:val="00B42294"/>
    <w:rsid w:val="00B422E6"/>
    <w:rsid w:val="00B86DAE"/>
    <w:rsid w:val="00B96F15"/>
    <w:rsid w:val="00BA048B"/>
    <w:rsid w:val="00BA5EF1"/>
    <w:rsid w:val="00BC3504"/>
    <w:rsid w:val="00BC6FE4"/>
    <w:rsid w:val="00BD3AA5"/>
    <w:rsid w:val="00BD72A1"/>
    <w:rsid w:val="00BE4CEE"/>
    <w:rsid w:val="00BE6EEB"/>
    <w:rsid w:val="00BF5A2A"/>
    <w:rsid w:val="00BF7D9E"/>
    <w:rsid w:val="00C02468"/>
    <w:rsid w:val="00C03CFC"/>
    <w:rsid w:val="00C129B8"/>
    <w:rsid w:val="00C26DD7"/>
    <w:rsid w:val="00C305BD"/>
    <w:rsid w:val="00C63AED"/>
    <w:rsid w:val="00C90159"/>
    <w:rsid w:val="00CB23DB"/>
    <w:rsid w:val="00CC1518"/>
    <w:rsid w:val="00CC1D42"/>
    <w:rsid w:val="00CC277A"/>
    <w:rsid w:val="00CE4855"/>
    <w:rsid w:val="00CE6B22"/>
    <w:rsid w:val="00CF6CFB"/>
    <w:rsid w:val="00D00857"/>
    <w:rsid w:val="00D0479E"/>
    <w:rsid w:val="00D114F1"/>
    <w:rsid w:val="00D23848"/>
    <w:rsid w:val="00D241ED"/>
    <w:rsid w:val="00D321A0"/>
    <w:rsid w:val="00D41AAA"/>
    <w:rsid w:val="00D42CEC"/>
    <w:rsid w:val="00D46700"/>
    <w:rsid w:val="00D46AA6"/>
    <w:rsid w:val="00D46E38"/>
    <w:rsid w:val="00D51667"/>
    <w:rsid w:val="00D57835"/>
    <w:rsid w:val="00D67003"/>
    <w:rsid w:val="00D70064"/>
    <w:rsid w:val="00D74092"/>
    <w:rsid w:val="00D8211D"/>
    <w:rsid w:val="00D8586B"/>
    <w:rsid w:val="00D86B1A"/>
    <w:rsid w:val="00D96C5A"/>
    <w:rsid w:val="00DA38E0"/>
    <w:rsid w:val="00DC509B"/>
    <w:rsid w:val="00DD1869"/>
    <w:rsid w:val="00DD6E1B"/>
    <w:rsid w:val="00E110D5"/>
    <w:rsid w:val="00E209D3"/>
    <w:rsid w:val="00E5637B"/>
    <w:rsid w:val="00E86D30"/>
    <w:rsid w:val="00E94455"/>
    <w:rsid w:val="00EB05D0"/>
    <w:rsid w:val="00EB3C7F"/>
    <w:rsid w:val="00EB54E1"/>
    <w:rsid w:val="00EB6F9B"/>
    <w:rsid w:val="00EC025E"/>
    <w:rsid w:val="00EC1537"/>
    <w:rsid w:val="00EC3EC4"/>
    <w:rsid w:val="00EC5EDD"/>
    <w:rsid w:val="00EC6C49"/>
    <w:rsid w:val="00EF3DFB"/>
    <w:rsid w:val="00F13B7E"/>
    <w:rsid w:val="00F24D9A"/>
    <w:rsid w:val="00F41723"/>
    <w:rsid w:val="00F5633E"/>
    <w:rsid w:val="00F62CAE"/>
    <w:rsid w:val="00F678C4"/>
    <w:rsid w:val="00F7460F"/>
    <w:rsid w:val="00F80D95"/>
    <w:rsid w:val="00FA578E"/>
    <w:rsid w:val="00FB56B1"/>
    <w:rsid w:val="00FC3B83"/>
    <w:rsid w:val="00FC6090"/>
    <w:rsid w:val="00FD26AB"/>
    <w:rsid w:val="00FD3FAD"/>
    <w:rsid w:val="00FD557C"/>
    <w:rsid w:val="00FE2747"/>
    <w:rsid w:val="00FE70BF"/>
  </w:rsids>
  <m:mathPr>
    <m:mathFont m:val="Cambria Math"/>
    <m:brkBin m:val="before"/>
    <m:brkBinSub m:val="--"/>
    <m:smallFrac m:val="0"/>
    <m:dispDef/>
    <m:lMargin m:val="0"/>
    <m:rMargin m:val="0"/>
    <m:defJc m:val="centerGroup"/>
    <m:wrapIndent m:val="1440"/>
    <m:intLim m:val="subSup"/>
    <m:naryLim m:val="undOvr"/>
  </m:mathPr>
  <w:themeFontLang w:val="en-B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chartTrackingRefBased/>
  <w15:docId w15:val="{A34D0C11-6B74-41D7-BE6F-2B1FE016E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BE" w:eastAsia="en-B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uppressAutoHyphens/>
      <w:spacing w:after="160" w:line="254" w:lineRule="auto"/>
    </w:pPr>
    <w:rPr>
      <w:rFonts w:ascii="Calibri" w:eastAsia="Calibri" w:hAnsi="Calibri" w:cs="font490"/>
      <w:kern w:val="1"/>
      <w:sz w:val="22"/>
      <w:szCs w:val="22"/>
      <w:lang w:val="ro-RO" w:eastAsia="en-US"/>
    </w:rPr>
  </w:style>
  <w:style w:type="paragraph" w:styleId="Heading1">
    <w:name w:val="heading 1"/>
    <w:basedOn w:val="Normal"/>
    <w:next w:val="Normal"/>
    <w:qFormat/>
    <w:pPr>
      <w:keepNext/>
      <w:keepLines/>
      <w:numPr>
        <w:numId w:val="1"/>
      </w:numPr>
      <w:spacing w:before="240" w:after="0"/>
      <w:outlineLvl w:val="0"/>
    </w:pPr>
    <w:rPr>
      <w:rFonts w:ascii="Calibri Light" w:eastAsia="font490" w:hAnsi="Calibri Light"/>
      <w:color w:val="2E74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Heading1Char">
    <w:name w:val="Heading 1 Char"/>
    <w:rPr>
      <w:rFonts w:ascii="Calibri Light" w:eastAsia="font490" w:hAnsi="Calibri Light" w:cs="font490"/>
      <w:color w:val="2E74B5"/>
      <w:sz w:val="32"/>
      <w:szCs w:val="32"/>
    </w:rPr>
  </w:style>
  <w:style w:type="character" w:customStyle="1" w:styleId="BalloonTextChar">
    <w:name w:val="Balloon Text Char"/>
    <w:rPr>
      <w:rFonts w:ascii="Segoe UI" w:hAnsi="Segoe UI" w:cs="Segoe UI"/>
      <w:sz w:val="18"/>
      <w:szCs w:val="18"/>
    </w:rPr>
  </w:style>
  <w:style w:type="character" w:customStyle="1" w:styleId="HeaderChar">
    <w:name w:val="Header Char"/>
    <w:basedOn w:val="DefaultParagraphFont"/>
  </w:style>
  <w:style w:type="character" w:customStyle="1" w:styleId="FooterChar">
    <w:name w:val="Footer Char"/>
    <w:basedOn w:val="DefaultParagraphFont"/>
  </w:style>
  <w:style w:type="paragraph" w:customStyle="1" w:styleId="Heading">
    <w:name w:val="Heading"/>
    <w:basedOn w:val="Normal"/>
    <w:next w:val="BodyText"/>
    <w:pPr>
      <w:keepNext/>
      <w:spacing w:before="240" w:after="120"/>
    </w:pPr>
    <w:rPr>
      <w:rFonts w:ascii="Liberation Sans" w:eastAsia="Microsoft YaHei" w:hAnsi="Liberation Sans" w:cs="Mangal"/>
      <w:sz w:val="28"/>
      <w:szCs w:val="28"/>
    </w:rPr>
  </w:style>
  <w:style w:type="paragraph" w:styleId="BodyText">
    <w:name w:val="Body Text"/>
    <w:basedOn w:val="Normal"/>
    <w:pPr>
      <w:spacing w:after="140" w:line="288" w:lineRule="auto"/>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Index">
    <w:name w:val="Index"/>
    <w:basedOn w:val="Normal"/>
    <w:pPr>
      <w:suppressLineNumbers/>
    </w:pPr>
    <w:rPr>
      <w:rFonts w:cs="Mangal"/>
    </w:rPr>
  </w:style>
  <w:style w:type="paragraph" w:styleId="ListParagraph">
    <w:name w:val="List Paragraph"/>
    <w:basedOn w:val="Normal"/>
    <w:uiPriority w:val="34"/>
    <w:qFormat/>
    <w:pPr>
      <w:ind w:left="720"/>
      <w:contextualSpacing/>
    </w:pPr>
  </w:style>
  <w:style w:type="paragraph" w:styleId="BalloonText">
    <w:name w:val="Balloon Text"/>
    <w:basedOn w:val="Normal"/>
    <w:pPr>
      <w:spacing w:after="0" w:line="240" w:lineRule="auto"/>
    </w:pPr>
    <w:rPr>
      <w:rFonts w:ascii="Segoe UI" w:hAnsi="Segoe UI" w:cs="Segoe UI"/>
      <w:sz w:val="18"/>
      <w:szCs w:val="18"/>
    </w:rPr>
  </w:style>
  <w:style w:type="paragraph" w:styleId="Header">
    <w:name w:val="header"/>
    <w:basedOn w:val="Normal"/>
    <w:pPr>
      <w:tabs>
        <w:tab w:val="center" w:pos="4536"/>
        <w:tab w:val="right" w:pos="9072"/>
      </w:tabs>
      <w:spacing w:after="0" w:line="240" w:lineRule="auto"/>
    </w:pPr>
  </w:style>
  <w:style w:type="paragraph" w:styleId="Footer">
    <w:name w:val="footer"/>
    <w:basedOn w:val="Normal"/>
    <w:pPr>
      <w:tabs>
        <w:tab w:val="center" w:pos="4536"/>
        <w:tab w:val="right" w:pos="9072"/>
      </w:tabs>
      <w:spacing w:after="0" w:line="240" w:lineRule="auto"/>
    </w:pPr>
  </w:style>
  <w:style w:type="paragraph" w:customStyle="1" w:styleId="Default">
    <w:name w:val="Default"/>
    <w:pPr>
      <w:suppressAutoHyphens/>
    </w:pPr>
    <w:rPr>
      <w:rFonts w:ascii="EUAlbertina" w:eastAsia="Calibri" w:hAnsi="EUAlbertina" w:cs="EUAlbertina"/>
      <w:color w:val="000000"/>
      <w:kern w:val="1"/>
      <w:sz w:val="24"/>
      <w:szCs w:val="24"/>
      <w:lang w:val="ro-RO" w:eastAsia="en-US"/>
    </w:rPr>
  </w:style>
  <w:style w:type="paragraph" w:styleId="Revision">
    <w:name w:val="Revision"/>
    <w:hidden/>
    <w:uiPriority w:val="99"/>
    <w:semiHidden/>
    <w:rsid w:val="00767102"/>
    <w:rPr>
      <w:rFonts w:ascii="Calibri" w:eastAsia="Calibri" w:hAnsi="Calibri" w:cs="font490"/>
      <w:kern w:val="1"/>
      <w:sz w:val="22"/>
      <w:szCs w:val="22"/>
      <w:lang w:val="ro-RO"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720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758E3A-964B-43E7-A4E5-F3CCC9DA8E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1543</Words>
  <Characters>8798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ELENA-MARIA OPRAN</dc:creator>
  <cp:keywords/>
  <cp:lastModifiedBy>Dhont, Luc</cp:lastModifiedBy>
  <cp:revision>3</cp:revision>
  <cp:lastPrinted>2019-11-07T15:19:00Z</cp:lastPrinted>
  <dcterms:created xsi:type="dcterms:W3CDTF">2019-12-24T10:27:00Z</dcterms:created>
  <dcterms:modified xsi:type="dcterms:W3CDTF">2019-12-24T10:28:00Z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